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附件二、廊坊市发展和改革委员会关于廊坊市人民政府网机房运维服务采购的公告</w:t>
      </w:r>
    </w:p>
    <w:p>
      <w:pPr>
        <w:pStyle w:val="2"/>
        <w:rPr>
          <w:rFonts w:hint="eastAsia"/>
          <w:lang w:val="en-US" w:eastAsia="zh-CN"/>
        </w:rPr>
      </w:pPr>
    </w:p>
    <w:p>
      <w:pPr>
        <w:spacing w:line="58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廊坊市发展和改革委员会关于</w:t>
      </w:r>
    </w:p>
    <w:p>
      <w:pPr>
        <w:spacing w:line="580" w:lineRule="exact"/>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廊坊市人民政府网站机房运维</w:t>
      </w:r>
      <w:r>
        <w:rPr>
          <w:rFonts w:hint="eastAsia" w:ascii="方正小标宋简体" w:hAnsi="方正小标宋简体" w:eastAsia="方正小标宋简体" w:cs="方正小标宋简体"/>
          <w:sz w:val="44"/>
          <w:szCs w:val="44"/>
        </w:rPr>
        <w:t>服务</w:t>
      </w:r>
    </w:p>
    <w:p>
      <w:pPr>
        <w:spacing w:line="58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采购的公告</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一、资质要求：符合《政府采购法》第二十二条规定：</w:t>
      </w:r>
    </w:p>
    <w:p>
      <w:pPr>
        <w:pStyle w:val="8"/>
        <w:widowControl/>
        <w:spacing w:line="580" w:lineRule="exact"/>
        <w:ind w:firstLine="632"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（一）具有独立承担民事责任的能力；</w:t>
      </w:r>
    </w:p>
    <w:p>
      <w:pPr>
        <w:pStyle w:val="8"/>
        <w:widowControl/>
        <w:spacing w:line="580" w:lineRule="exact"/>
        <w:ind w:firstLine="632"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（二）具有良好的商业信誉和健全的财务会计制度；</w:t>
      </w:r>
    </w:p>
    <w:p>
      <w:pPr>
        <w:pStyle w:val="8"/>
        <w:widowControl/>
        <w:spacing w:line="580" w:lineRule="exact"/>
        <w:ind w:firstLine="632"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（三）具有履行合同所必需的设备和专业技术能力；</w:t>
      </w:r>
    </w:p>
    <w:p>
      <w:pPr>
        <w:pStyle w:val="8"/>
        <w:widowControl/>
        <w:spacing w:line="580" w:lineRule="exact"/>
        <w:ind w:firstLine="632"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（四）有依法缴纳税收和社会保障资金的良好记录；</w:t>
      </w:r>
    </w:p>
    <w:p>
      <w:pPr>
        <w:pStyle w:val="8"/>
        <w:widowControl/>
        <w:spacing w:line="580" w:lineRule="exact"/>
        <w:ind w:left="626"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（五）参加政府采购活动前三年内，在经营活动中没有重大违法记录；</w:t>
      </w:r>
    </w:p>
    <w:p>
      <w:pPr>
        <w:pStyle w:val="8"/>
        <w:widowControl/>
        <w:spacing w:line="580" w:lineRule="exact"/>
        <w:ind w:firstLine="632" w:firstLineChars="200"/>
        <w:outlineLvl w:val="0"/>
        <w:rPr>
          <w:rFonts w:ascii="仿宋_GB2312" w:hAnsi="仿宋_GB2312" w:eastAsia="仿宋_GB2312" w:cs="仿宋_GB2312"/>
          <w:sz w:val="32"/>
          <w:szCs w:val="32"/>
        </w:rPr>
      </w:pPr>
      <w:r>
        <w:rPr>
          <w:rFonts w:hint="eastAsia" w:ascii="仿宋_GB2312" w:hAnsi="仿宋_GB2312" w:eastAsia="仿宋_GB2312" w:cs="仿宋_GB2312"/>
          <w:b/>
          <w:bCs/>
          <w:sz w:val="32"/>
          <w:szCs w:val="32"/>
        </w:rPr>
        <w:t>以上需提供承诺函</w:t>
      </w:r>
      <w:r>
        <w:rPr>
          <w:rFonts w:hint="eastAsia" w:ascii="仿宋_GB2312" w:hAnsi="仿宋_GB2312" w:eastAsia="仿宋_GB2312" w:cs="仿宋_GB2312"/>
          <w:sz w:val="32"/>
          <w:szCs w:val="32"/>
        </w:rPr>
        <w:t>。</w:t>
      </w:r>
    </w:p>
    <w:p>
      <w:pPr>
        <w:pStyle w:val="8"/>
        <w:widowControl/>
        <w:spacing w:line="580" w:lineRule="exact"/>
        <w:ind w:firstLine="632"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（六）符合政府采购信用相关规定；</w:t>
      </w:r>
    </w:p>
    <w:p>
      <w:pPr>
        <w:pStyle w:val="8"/>
        <w:widowControl/>
        <w:spacing w:line="58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二、项目实施地点：廊坊市</w:t>
      </w:r>
      <w:r>
        <w:rPr>
          <w:rFonts w:hint="eastAsia" w:ascii="仿宋_GB2312" w:hAnsi="仿宋_GB2312" w:eastAsia="仿宋_GB2312" w:cs="仿宋_GB2312"/>
          <w:sz w:val="32"/>
          <w:szCs w:val="32"/>
          <w:lang w:val="en-US" w:eastAsia="zh-CN"/>
        </w:rPr>
        <w:t>人民政府网机房</w:t>
      </w:r>
    </w:p>
    <w:p>
      <w:pPr>
        <w:pStyle w:val="8"/>
        <w:widowControl/>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三、服务期限：合同签订后</w:t>
      </w:r>
      <w:r>
        <w:rPr>
          <w:rFonts w:hint="eastAsia" w:ascii="仿宋_GB2312" w:hAnsi="仿宋_GB2312" w:eastAsia="仿宋_GB2312" w:cs="仿宋_GB2312"/>
          <w:sz w:val="32"/>
          <w:szCs w:val="32"/>
          <w:lang w:val="en-US" w:eastAsia="zh-CN"/>
        </w:rPr>
        <w:t>1年</w:t>
      </w:r>
      <w:r>
        <w:rPr>
          <w:rFonts w:hint="eastAsia" w:ascii="仿宋_GB2312" w:hAnsi="仿宋_GB2312" w:eastAsia="仿宋_GB2312" w:cs="仿宋_GB2312"/>
          <w:sz w:val="32"/>
          <w:szCs w:val="32"/>
        </w:rPr>
        <w:t>。</w:t>
      </w:r>
    </w:p>
    <w:p>
      <w:pPr>
        <w:pStyle w:val="8"/>
        <w:widowControl/>
        <w:spacing w:line="5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四、服务内容及标准：</w:t>
      </w:r>
    </w:p>
    <w:p>
      <w:pPr>
        <w:pStyle w:val="8"/>
        <w:widowControl/>
        <w:spacing w:line="58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1.服务内容：</w:t>
      </w:r>
    </w:p>
    <w:tbl>
      <w:tblPr>
        <w:tblStyle w:val="9"/>
        <w:tblW w:w="82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270"/>
        <w:gridCol w:w="5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jc w:val="center"/>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序号</w:t>
            </w:r>
          </w:p>
        </w:tc>
        <w:tc>
          <w:tcPr>
            <w:tcW w:w="227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服务模块</w:t>
            </w:r>
          </w:p>
        </w:tc>
        <w:tc>
          <w:tcPr>
            <w:tcW w:w="504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内容描述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jc w:val="center"/>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1</w:t>
            </w:r>
          </w:p>
        </w:tc>
        <w:tc>
          <w:tcPr>
            <w:tcW w:w="227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信息资产统计服务</w:t>
            </w:r>
          </w:p>
        </w:tc>
        <w:tc>
          <w:tcPr>
            <w:tcW w:w="504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负责硬件设备型号规格、数量、版本等信息统计记录。</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负责软件产品名称、版本和补丁的信息统计记录。</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负责网络结构、网络路由、网络交换、网络安全、网络IP地址统计记录。</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负责综合布线系统结构图的绘制及分布统计记录。</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负责其他附属设备的统计记录。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988"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jc w:val="center"/>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2</w:t>
            </w:r>
          </w:p>
        </w:tc>
        <w:tc>
          <w:tcPr>
            <w:tcW w:w="227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网络设备及网络安全系统运维服务</w:t>
            </w:r>
          </w:p>
        </w:tc>
        <w:tc>
          <w:tcPr>
            <w:tcW w:w="504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确保系统安全长期、稳定的工作，最大限度和降低系统的运行故障及延长系统设备的使用寿命，运维团队应定期对安全设备、业务系统进行健康检查服务，在保证系统安全的前提下采集系统配置、流量信息、系统状态等安全信息，依照标准化流程，定期对用户的系统进行检查，了解系统的整体工作状态。由被动服务变主动服务，通过健康检查服务排除故障隐患，降低故障率。</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确保用户网络中防火墙、防病毒软件、IDS、VPN等网络安全设备正常运转，各系统日志数据正常。运维服务团队应定期对各类系统产生的安全日志实现全面、有效的集中收集、管理记录。</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现场网络系统维护及备件安装。</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现场网络系统软件升级，分析软件升级的必要性和风险，配合用户进行软件升级。</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对遇到的问题进行汇总记录。</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对运行中的交换设备、网络安全设备进行巡视并记录运行状态、日志、温度等内容。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jc w:val="center"/>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3</w:t>
            </w:r>
          </w:p>
        </w:tc>
        <w:tc>
          <w:tcPr>
            <w:tcW w:w="227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服务器、存储、运维服务</w:t>
            </w:r>
          </w:p>
        </w:tc>
        <w:tc>
          <w:tcPr>
            <w:tcW w:w="504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负责对信息中心服务器、存储等设备的日常监控，负责设备的运行状态监控，故障处理，操作系统维护，补丁升级等内容。</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对服务器，存储设备CPU性能、内存使用情况、硬盘利用情况、系统进程、主机性能等进行管理。</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实时监控服务器、存储等设备电源、风扇、温度工作情况。</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实时监控服务器、存储等设备硬盘、网卡、阵列卡工作状态。</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记录服务器、存储设备巡检（硬件运行状态、系统运行检查、系统性能检查、服务器集群状态、存储状态等）。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jc w:val="center"/>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4</w:t>
            </w:r>
          </w:p>
        </w:tc>
        <w:tc>
          <w:tcPr>
            <w:tcW w:w="227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动环设备维护服务</w:t>
            </w:r>
          </w:p>
        </w:tc>
        <w:tc>
          <w:tcPr>
            <w:tcW w:w="504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动环设备日常巡检维护服务；</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动环设备应急故障处理维修维护；</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动环设备应急故障处理维修维护</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负责联系厂家进行技术咨询或远程技术支持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jc w:val="center"/>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5</w:t>
            </w:r>
          </w:p>
        </w:tc>
        <w:tc>
          <w:tcPr>
            <w:tcW w:w="227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服务器系统运维服务</w:t>
            </w:r>
          </w:p>
        </w:tc>
        <w:tc>
          <w:tcPr>
            <w:tcW w:w="504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熟练掌握Unix/Linux/windows等操作系统安装、配置、维护、升级、系统管理优化、批量部署等操作。</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精通Unix/Linux/windows等操作系统下各种网络服务、应用。</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熟练部署Unix/Linux/windows等操作系统，随时部署服务器所需的各种操作系统</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熟练掌握Unix/Linux/windows操作系统下防火墙及安全策略配置应用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jc w:val="center"/>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6</w:t>
            </w:r>
          </w:p>
        </w:tc>
        <w:tc>
          <w:tcPr>
            <w:tcW w:w="227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备件先行运维服务</w:t>
            </w:r>
          </w:p>
        </w:tc>
        <w:tc>
          <w:tcPr>
            <w:tcW w:w="504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重要服务器及设备在出现宕机或故障时，需提供处理性能不低于故障机器相关服务器及备件，保证不影响相关业务上线运行。</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提供服务器传输基础耗材便于随时应急更换。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jc w:val="center"/>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7</w:t>
            </w:r>
          </w:p>
        </w:tc>
        <w:tc>
          <w:tcPr>
            <w:tcW w:w="227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现场常驻人员</w:t>
            </w:r>
          </w:p>
        </w:tc>
        <w:tc>
          <w:tcPr>
            <w:tcW w:w="504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驻场人员不低于2人；驻场人员需要熟练掌握办公计算机系统、硬件、办公设备、网络等知识维护能力。</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以上人员要求必须至少一名在夜间以及节假日期间24小时现场值守，以上人员可轮值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jc w:val="center"/>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8</w:t>
            </w:r>
          </w:p>
        </w:tc>
        <w:tc>
          <w:tcPr>
            <w:tcW w:w="227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机房24小时值守</w:t>
            </w:r>
          </w:p>
        </w:tc>
        <w:tc>
          <w:tcPr>
            <w:tcW w:w="504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负责机房空调系统、新风系统、配电系统、消防系统、安防和视频监控系统等机房环境设备的巡查工作，保证每天早、中、晚各一次。</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负责机房、交换机、网络安全设备和服务器运行状态巡查工作，保证每天早、中、晚各一次。</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负责政府门户网站运行监测，白天保证每小时浏览一次网站，夜间每三小时浏览一次。</w:t>
            </w:r>
          </w:p>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巡查监测过程中发现已经出故障或存在隐性的危险问题，需及时上报网管部，安照网管部的指示及时处理解。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9</w:t>
            </w:r>
          </w:p>
        </w:tc>
        <w:tc>
          <w:tcPr>
            <w:tcW w:w="227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rPr>
              <w:t>其他临时性工作任务</w:t>
            </w:r>
          </w:p>
        </w:tc>
        <w:tc>
          <w:tcPr>
            <w:tcW w:w="5040" w:type="dxa"/>
            <w:tcBorders>
              <w:top w:val="single" w:color="auto" w:sz="4" w:space="0"/>
              <w:left w:val="single" w:color="auto" w:sz="4" w:space="0"/>
              <w:bottom w:val="single" w:color="auto" w:sz="4" w:space="0"/>
              <w:right w:val="single" w:color="auto" w:sz="4" w:space="0"/>
            </w:tcBorders>
            <w:noWrap w:val="0"/>
            <w:vAlign w:val="center"/>
          </w:tcPr>
          <w:p>
            <w:pPr>
              <w:tabs>
                <w:tab w:val="left" w:pos="8280"/>
              </w:tabs>
              <w:autoSpaceDE w:val="0"/>
              <w:autoSpaceDN w:val="0"/>
              <w:adjustRightInd w:val="0"/>
              <w:spacing w:line="360" w:lineRule="auto"/>
              <w:rPr>
                <w:rFonts w:hint="eastAsia" w:ascii="仿宋_GB2312" w:hAnsi="宋体" w:eastAsia="仿宋_GB2312" w:cs="Times New Roman"/>
                <w:color w:val="000000"/>
                <w:sz w:val="24"/>
              </w:rPr>
            </w:pPr>
            <w:r>
              <w:rPr>
                <w:rFonts w:hint="eastAsia" w:ascii="仿宋_GB2312" w:hAnsi="宋体" w:eastAsia="仿宋_GB2312" w:cs="Times New Roman"/>
                <w:color w:val="000000"/>
                <w:sz w:val="24"/>
                <w:lang w:val="zh-CN"/>
              </w:rPr>
              <w:t>廊坊市</w:t>
            </w:r>
            <w:r>
              <w:rPr>
                <w:rFonts w:hint="eastAsia" w:ascii="仿宋_GB2312" w:hAnsi="宋体" w:eastAsia="仿宋_GB2312" w:cs="Times New Roman"/>
                <w:color w:val="000000"/>
                <w:sz w:val="24"/>
              </w:rPr>
              <w:t>人民政府</w:t>
            </w:r>
            <w:r>
              <w:rPr>
                <w:rFonts w:hint="eastAsia" w:ascii="仿宋_GB2312" w:hAnsi="宋体" w:eastAsia="仿宋_GB2312" w:cs="Times New Roman"/>
                <w:color w:val="000000"/>
                <w:sz w:val="24"/>
                <w:lang w:val="zh-CN"/>
              </w:rPr>
              <w:t>网站机房</w:t>
            </w:r>
            <w:r>
              <w:rPr>
                <w:rFonts w:hint="eastAsia" w:ascii="仿宋_GB2312" w:hAnsi="宋体" w:eastAsia="仿宋_GB2312" w:cs="Times New Roman"/>
                <w:color w:val="000000"/>
                <w:sz w:val="24"/>
              </w:rPr>
              <w:t>及</w:t>
            </w:r>
            <w:r>
              <w:rPr>
                <w:rFonts w:hint="eastAsia" w:ascii="仿宋_GB2312" w:hAnsi="宋体" w:eastAsia="仿宋_GB2312" w:cs="Times New Roman"/>
                <w:color w:val="000000"/>
                <w:sz w:val="24"/>
                <w:lang w:val="zh-CN"/>
              </w:rPr>
              <w:t>网络运维服务</w:t>
            </w:r>
            <w:r>
              <w:rPr>
                <w:rFonts w:hint="eastAsia" w:ascii="仿宋_GB2312" w:hAnsi="宋体" w:eastAsia="仿宋_GB2312" w:cs="Times New Roman"/>
                <w:color w:val="000000"/>
                <w:sz w:val="24"/>
              </w:rPr>
              <w:t>其它临时性工作配合</w:t>
            </w:r>
          </w:p>
        </w:tc>
      </w:tr>
    </w:tbl>
    <w:p>
      <w:pPr>
        <w:pStyle w:val="8"/>
        <w:widowControl/>
        <w:spacing w:line="580" w:lineRule="exact"/>
        <w:ind w:left="-6" w:hanging="6"/>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人员要求：提供一个运维团队常驻廊坊市发展和改革委员会信息中心，团队成员需２名或２名以上固定人员组成，要求成员组长1名，需经过华为或锐捷、H3C相关网络产品培训；网络维护人员1名，具备计算机系统、硬件、办公设备、网络等知识。派驻的人员必须严格遵守廊坊市发展和改革委员会各项规章制度，自觉服从廊坊市发展和改革委员会管理，临时更换或抽调派驻人员需提前2个工作日与廊坊市发展和改革委员会沟通，经廊坊市发展和改革委员会同意后，再进行人员的调配。廊坊市发展和改革委员会如遇重大网络调整，需协调相应人员予以配合。廊坊市发展和改革委员会有权要求调换工作人员。</w:t>
      </w:r>
    </w:p>
    <w:p>
      <w:pPr>
        <w:pStyle w:val="8"/>
        <w:widowControl/>
        <w:spacing w:line="580" w:lineRule="exact"/>
        <w:ind w:left="-6" w:hanging="6"/>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3、时间要求：常驻廊坊市发展和改革委员会２名人员需要7*24 小时（含夜间、双休日、法定节假日）工作时间内，至少一个人在岗负责完成以上服务内容。</w:t>
      </w:r>
    </w:p>
    <w:p>
      <w:pPr>
        <w:pStyle w:val="8"/>
        <w:widowControl/>
        <w:spacing w:line="580" w:lineRule="exact"/>
        <w:ind w:left="-6" w:hanging="6"/>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工作要求：常规非涉及安全与保密巡检维护内容由服务人员自行完成，涉及到安全与保密巡检维护内容需要在廊坊市发展和改革委员会中心人员陪同监督下共同完成；在运行维过程中发现问题及时上报网管部；在运行维过程中遇到需要维修、更换设备等产生费用情况需上报网管部，在网管部同意后方可实施完成。</w:t>
      </w:r>
    </w:p>
    <w:p>
      <w:pPr>
        <w:pStyle w:val="8"/>
        <w:widowControl/>
        <w:spacing w:line="580" w:lineRule="exact"/>
        <w:ind w:left="-6" w:hanging="6"/>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5、行为纪律要求：需遵守《廊坊市发展和改革委员会工作人员行为规范》和《运维外包工作人员管理制度》。</w:t>
      </w:r>
    </w:p>
    <w:p>
      <w:pPr>
        <w:pStyle w:val="8"/>
        <w:widowControl/>
        <w:spacing w:line="580" w:lineRule="exact"/>
        <w:ind w:left="-6" w:hanging="6"/>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6、保密及安全生产要求：除签订服务合同外，服务公司及公司派驻人员须签订《保密协议》和《安全生产协议》。</w:t>
      </w:r>
    </w:p>
    <w:p>
      <w:pPr>
        <w:pStyle w:val="8"/>
        <w:widowControl/>
        <w:spacing w:line="5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、请按以下格式制作报价文件。纸版报价文件正本1份，副本4份，正本文件扫描件1份。请于2023年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17</w:t>
      </w:r>
      <w:bookmarkStart w:id="0" w:name="_GoBack"/>
      <w:bookmarkEnd w:id="0"/>
      <w:r>
        <w:rPr>
          <w:rFonts w:hint="eastAsia" w:ascii="仿宋_GB2312" w:hAnsi="仿宋_GB2312" w:eastAsia="仿宋_GB2312" w:cs="仿宋_GB2312"/>
          <w:sz w:val="32"/>
          <w:szCs w:val="32"/>
        </w:rPr>
        <w:t>点前将密封好后的纸版报价文件递交到我委，电子文件可发邮件到qdl@lf.gov.cn。联系人：齐工 电话：2317032。</w:t>
      </w:r>
    </w:p>
    <w:p>
      <w:pPr>
        <w:pStyle w:val="8"/>
        <w:widowControl/>
        <w:spacing w:line="58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七、本项目最高报价15.3万元，超过本报价视为无效报价文件。</w:t>
      </w:r>
    </w:p>
    <w:p>
      <w:pPr>
        <w:pStyle w:val="8"/>
        <w:widowControl/>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rPr>
        <w:t>、评分标准</w:t>
      </w:r>
    </w:p>
    <w:p>
      <w:pPr>
        <w:pStyle w:val="8"/>
        <w:widowControl/>
        <w:spacing w:line="580" w:lineRule="exact"/>
        <w:rPr>
          <w:rFonts w:ascii="仿宋_GB2312" w:hAnsi="仿宋_GB2312" w:eastAsia="仿宋_GB2312" w:cs="仿宋_GB2312"/>
          <w:sz w:val="32"/>
          <w:szCs w:val="32"/>
        </w:rPr>
      </w:pPr>
    </w:p>
    <w:p>
      <w:pPr>
        <w:widowControl/>
        <w:spacing w:line="360" w:lineRule="auto"/>
        <w:jc w:val="left"/>
        <w:rPr>
          <w:rFonts w:ascii="仿宋" w:hAnsi="仿宋" w:eastAsia="仿宋" w:cs="宋体"/>
          <w:color w:val="000000"/>
          <w:kern w:val="0"/>
          <w:sz w:val="28"/>
          <w:szCs w:val="28"/>
        </w:rPr>
      </w:pPr>
    </w:p>
    <w:p>
      <w:pPr>
        <w:widowControl/>
        <w:spacing w:line="360" w:lineRule="auto"/>
        <w:jc w:val="left"/>
        <w:rPr>
          <w:rFonts w:ascii="仿宋" w:hAnsi="仿宋" w:eastAsia="仿宋" w:cs="宋体"/>
          <w:color w:val="000000"/>
          <w:kern w:val="0"/>
          <w:sz w:val="28"/>
          <w:szCs w:val="28"/>
        </w:rPr>
      </w:pPr>
    </w:p>
    <w:p>
      <w:pPr>
        <w:widowControl/>
        <w:spacing w:line="360" w:lineRule="auto"/>
        <w:jc w:val="left"/>
        <w:rPr>
          <w:rFonts w:ascii="仿宋" w:hAnsi="仿宋" w:eastAsia="仿宋" w:cs="宋体"/>
          <w:color w:val="000000"/>
          <w:kern w:val="0"/>
          <w:sz w:val="28"/>
          <w:szCs w:val="28"/>
        </w:rPr>
      </w:pPr>
    </w:p>
    <w:p>
      <w:pPr>
        <w:widowControl/>
        <w:spacing w:line="360" w:lineRule="auto"/>
        <w:jc w:val="left"/>
        <w:rPr>
          <w:rFonts w:ascii="仿宋" w:hAnsi="仿宋" w:eastAsia="仿宋" w:cs="宋体"/>
          <w:color w:val="000000"/>
          <w:kern w:val="0"/>
          <w:sz w:val="28"/>
          <w:szCs w:val="28"/>
        </w:rPr>
      </w:pPr>
    </w:p>
    <w:tbl>
      <w:tblPr>
        <w:tblStyle w:val="9"/>
        <w:tblW w:w="5000" w:type="pct"/>
        <w:jc w:val="center"/>
        <w:tblLayout w:type="autofit"/>
        <w:tblCellMar>
          <w:top w:w="17" w:type="dxa"/>
          <w:left w:w="17" w:type="dxa"/>
          <w:bottom w:w="17" w:type="dxa"/>
          <w:right w:w="17" w:type="dxa"/>
        </w:tblCellMar>
      </w:tblPr>
      <w:tblGrid>
        <w:gridCol w:w="1313"/>
        <w:gridCol w:w="864"/>
        <w:gridCol w:w="6782"/>
      </w:tblGrid>
      <w:tr>
        <w:tblPrEx>
          <w:tblCellMar>
            <w:top w:w="17" w:type="dxa"/>
            <w:left w:w="17" w:type="dxa"/>
            <w:bottom w:w="17" w:type="dxa"/>
            <w:right w:w="17" w:type="dxa"/>
          </w:tblCellMar>
        </w:tblPrEx>
        <w:trPr>
          <w:trHeight w:val="557" w:hRule="atLeast"/>
          <w:jc w:val="center"/>
        </w:trPr>
        <w:tc>
          <w:tcPr>
            <w:tcW w:w="733" w:type="pct"/>
            <w:tcBorders>
              <w:top w:val="single" w:color="000000" w:sz="4" w:space="0"/>
              <w:left w:val="single" w:color="000000" w:sz="4" w:space="0"/>
              <w:bottom w:val="single" w:color="000000" w:sz="4" w:space="0"/>
              <w:right w:val="single" w:color="000000" w:sz="4" w:space="0"/>
            </w:tcBorders>
            <w:tcMar>
              <w:top w:w="17" w:type="dxa"/>
              <w:left w:w="57" w:type="dxa"/>
              <w:bottom w:w="17" w:type="dxa"/>
              <w:right w:w="57"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评审项目</w:t>
            </w:r>
          </w:p>
        </w:tc>
        <w:tc>
          <w:tcPr>
            <w:tcW w:w="482" w:type="pct"/>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仿宋" w:hAnsi="仿宋" w:eastAsia="仿宋" w:cs="仿宋"/>
                <w:b/>
                <w:color w:val="000000"/>
                <w:kern w:val="0"/>
                <w:sz w:val="24"/>
              </w:rPr>
            </w:pPr>
            <w:r>
              <w:rPr>
                <w:rFonts w:hint="eastAsia" w:ascii="仿宋" w:hAnsi="仿宋" w:eastAsia="仿宋" w:cs="仿宋"/>
                <w:b/>
                <w:color w:val="000000"/>
                <w:kern w:val="0"/>
                <w:sz w:val="24"/>
              </w:rPr>
              <w:t>标准分</w:t>
            </w:r>
          </w:p>
        </w:tc>
        <w:tc>
          <w:tcPr>
            <w:tcW w:w="3784" w:type="pct"/>
            <w:tcBorders>
              <w:top w:val="single" w:color="000000" w:sz="4" w:space="0"/>
              <w:left w:val="single" w:color="000000" w:sz="4" w:space="0"/>
              <w:bottom w:val="single" w:color="000000" w:sz="4" w:space="0"/>
              <w:right w:val="single" w:color="000000" w:sz="4" w:space="0"/>
            </w:tcBorders>
            <w:tcMar>
              <w:top w:w="17" w:type="dxa"/>
              <w:left w:w="57" w:type="dxa"/>
              <w:bottom w:w="17" w:type="dxa"/>
              <w:right w:w="57"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评分标准</w:t>
            </w:r>
          </w:p>
        </w:tc>
      </w:tr>
      <w:tr>
        <w:tblPrEx>
          <w:tblCellMar>
            <w:top w:w="17" w:type="dxa"/>
            <w:left w:w="17" w:type="dxa"/>
            <w:bottom w:w="17" w:type="dxa"/>
            <w:right w:w="17" w:type="dxa"/>
          </w:tblCellMar>
        </w:tblPrEx>
        <w:trPr>
          <w:trHeight w:val="1678" w:hRule="atLeast"/>
          <w:jc w:val="center"/>
        </w:trPr>
        <w:tc>
          <w:tcPr>
            <w:tcW w:w="733" w:type="pct"/>
            <w:tcBorders>
              <w:top w:val="single" w:color="000000" w:sz="4" w:space="0"/>
              <w:left w:val="single" w:color="000000" w:sz="4" w:space="0"/>
              <w:bottom w:val="single" w:color="000000" w:sz="4" w:space="0"/>
              <w:right w:val="single" w:color="000000" w:sz="4" w:space="0"/>
            </w:tcBorders>
            <w:tcMar>
              <w:top w:w="17" w:type="dxa"/>
              <w:left w:w="57" w:type="dxa"/>
              <w:bottom w:w="17" w:type="dxa"/>
              <w:right w:w="57" w:type="dxa"/>
            </w:tcMar>
            <w:vAlign w:val="center"/>
          </w:tcPr>
          <w:p>
            <w:pPr>
              <w:jc w:val="center"/>
              <w:rPr>
                <w:rFonts w:ascii="仿宋" w:hAnsi="仿宋" w:eastAsia="仿宋" w:cs="仿宋"/>
                <w:sz w:val="24"/>
              </w:rPr>
            </w:pPr>
            <w:r>
              <w:rPr>
                <w:rFonts w:hint="eastAsia" w:ascii="仿宋" w:hAnsi="仿宋" w:eastAsia="仿宋" w:cs="仿宋"/>
                <w:sz w:val="24"/>
              </w:rPr>
              <w:t>投标报价</w:t>
            </w:r>
          </w:p>
        </w:tc>
        <w:tc>
          <w:tcPr>
            <w:tcW w:w="482" w:type="pct"/>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 w:val="24"/>
              </w:rPr>
            </w:pPr>
            <w:r>
              <w:rPr>
                <w:rFonts w:hint="eastAsia" w:ascii="仿宋" w:hAnsi="仿宋" w:eastAsia="仿宋" w:cs="仿宋"/>
                <w:sz w:val="24"/>
              </w:rPr>
              <w:t>10分</w:t>
            </w:r>
          </w:p>
        </w:tc>
        <w:tc>
          <w:tcPr>
            <w:tcW w:w="3784" w:type="pct"/>
            <w:tcBorders>
              <w:top w:val="single" w:color="000000" w:sz="4" w:space="0"/>
              <w:left w:val="single" w:color="000000" w:sz="4" w:space="0"/>
              <w:bottom w:val="single" w:color="000000" w:sz="4" w:space="0"/>
              <w:right w:val="single" w:color="000000" w:sz="4" w:space="0"/>
            </w:tcBorders>
            <w:tcMar>
              <w:top w:w="17" w:type="dxa"/>
              <w:left w:w="57" w:type="dxa"/>
              <w:bottom w:w="17" w:type="dxa"/>
              <w:right w:w="57" w:type="dxa"/>
            </w:tcMar>
            <w:vAlign w:val="center"/>
          </w:tcPr>
          <w:p>
            <w:pPr>
              <w:rPr>
                <w:rFonts w:ascii="仿宋" w:hAnsi="仿宋" w:eastAsia="仿宋" w:cs="仿宋"/>
                <w:sz w:val="24"/>
              </w:rPr>
            </w:pPr>
            <w:r>
              <w:rPr>
                <w:rFonts w:hint="eastAsia" w:ascii="仿宋" w:hAnsi="仿宋" w:eastAsia="仿宋" w:cs="仿宋"/>
                <w:sz w:val="24"/>
              </w:rPr>
              <w:t>综合评分法中的价格分统一采用低价优先法计算，即满足招标文件要求且最后报价最低的供应商的价格为投标基准价，其价格分为满分。其他供应商的价格分统一按照下列公式计算：</w:t>
            </w:r>
          </w:p>
          <w:p>
            <w:pPr>
              <w:rPr>
                <w:rFonts w:ascii="仿宋" w:hAnsi="仿宋" w:eastAsia="仿宋" w:cs="仿宋"/>
                <w:sz w:val="24"/>
              </w:rPr>
            </w:pPr>
            <w:r>
              <w:rPr>
                <w:rFonts w:hint="eastAsia" w:ascii="仿宋" w:hAnsi="仿宋" w:eastAsia="仿宋" w:cs="仿宋"/>
                <w:sz w:val="24"/>
              </w:rPr>
              <w:t>投标报价得分=（投标基准价/投标报价）×10</w:t>
            </w:r>
          </w:p>
        </w:tc>
      </w:tr>
      <w:tr>
        <w:tblPrEx>
          <w:tblCellMar>
            <w:top w:w="17" w:type="dxa"/>
            <w:left w:w="17" w:type="dxa"/>
            <w:bottom w:w="17" w:type="dxa"/>
            <w:right w:w="17" w:type="dxa"/>
          </w:tblCellMar>
        </w:tblPrEx>
        <w:trPr>
          <w:trHeight w:val="1058" w:hRule="atLeast"/>
          <w:jc w:val="center"/>
        </w:trPr>
        <w:tc>
          <w:tcPr>
            <w:tcW w:w="733" w:type="pct"/>
            <w:tcBorders>
              <w:top w:val="single" w:color="000000" w:sz="4" w:space="0"/>
              <w:left w:val="single" w:color="000000" w:sz="4" w:space="0"/>
              <w:bottom w:val="single" w:color="000000" w:sz="4" w:space="0"/>
              <w:right w:val="single" w:color="000000" w:sz="4" w:space="0"/>
            </w:tcBorders>
            <w:tcMar>
              <w:top w:w="17" w:type="dxa"/>
              <w:left w:w="57" w:type="dxa"/>
              <w:bottom w:w="17" w:type="dxa"/>
              <w:right w:w="57" w:type="dxa"/>
            </w:tcMar>
            <w:vAlign w:val="center"/>
          </w:tcPr>
          <w:p>
            <w:pPr>
              <w:jc w:val="center"/>
              <w:rPr>
                <w:rFonts w:ascii="仿宋" w:hAnsi="仿宋" w:eastAsia="仿宋" w:cs="仿宋"/>
                <w:sz w:val="24"/>
              </w:rPr>
            </w:pPr>
            <w:r>
              <w:rPr>
                <w:rFonts w:hint="eastAsia" w:ascii="仿宋" w:hAnsi="仿宋" w:eastAsia="仿宋" w:cs="仿宋"/>
                <w:sz w:val="24"/>
                <w:lang w:eastAsia="en-US"/>
              </w:rPr>
              <w:t>投标人综合实力</w:t>
            </w:r>
          </w:p>
        </w:tc>
        <w:tc>
          <w:tcPr>
            <w:tcW w:w="482" w:type="pct"/>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en-US" w:eastAsia="zh-CN"/>
              </w:rPr>
              <w:t>0</w:t>
            </w:r>
            <w:r>
              <w:rPr>
                <w:rFonts w:hint="eastAsia" w:ascii="仿宋" w:hAnsi="仿宋" w:eastAsia="仿宋" w:cs="仿宋"/>
                <w:sz w:val="24"/>
              </w:rPr>
              <w:t>分</w:t>
            </w:r>
          </w:p>
        </w:tc>
        <w:tc>
          <w:tcPr>
            <w:tcW w:w="3784" w:type="pct"/>
            <w:tcBorders>
              <w:top w:val="single" w:color="000000" w:sz="4" w:space="0"/>
              <w:left w:val="single" w:color="000000" w:sz="4" w:space="0"/>
              <w:bottom w:val="single" w:color="000000" w:sz="4" w:space="0"/>
              <w:right w:val="single" w:color="000000" w:sz="4" w:space="0"/>
            </w:tcBorders>
            <w:tcMar>
              <w:top w:w="17" w:type="dxa"/>
              <w:left w:w="57" w:type="dxa"/>
              <w:bottom w:w="17" w:type="dxa"/>
              <w:right w:w="57" w:type="dxa"/>
            </w:tcMar>
            <w:vAlign w:val="center"/>
          </w:tcPr>
          <w:p>
            <w:pPr>
              <w:jc w:val="left"/>
              <w:rPr>
                <w:rFonts w:ascii="仿宋" w:hAnsi="仿宋" w:eastAsia="仿宋" w:cs="仿宋"/>
                <w:sz w:val="24"/>
              </w:rPr>
            </w:pPr>
            <w:r>
              <w:rPr>
                <w:rFonts w:hint="eastAsia" w:ascii="仿宋" w:hAnsi="仿宋" w:eastAsia="仿宋" w:cs="仿宋"/>
                <w:sz w:val="24"/>
              </w:rPr>
              <w:t>1.通过ISO9001质量管理体系、ISO14001环境管理体系、ISO45001职业健康安全管理体系、ISO27001信息安全管理体系、ISO20000信息技术服务管理体系证书，每具有一个证书得</w:t>
            </w:r>
            <w:r>
              <w:rPr>
                <w:rFonts w:hint="eastAsia" w:ascii="仿宋" w:hAnsi="仿宋" w:eastAsia="仿宋" w:cs="仿宋"/>
                <w:sz w:val="24"/>
                <w:lang w:val="en-US" w:eastAsia="zh-CN"/>
              </w:rPr>
              <w:t>2</w:t>
            </w:r>
            <w:r>
              <w:rPr>
                <w:rFonts w:hint="eastAsia" w:ascii="仿宋" w:hAnsi="仿宋" w:eastAsia="仿宋" w:cs="仿宋"/>
                <w:sz w:val="24"/>
              </w:rPr>
              <w:t>分，最高得</w:t>
            </w:r>
            <w:r>
              <w:rPr>
                <w:rFonts w:hint="eastAsia" w:ascii="仿宋" w:hAnsi="仿宋" w:eastAsia="仿宋" w:cs="仿宋"/>
                <w:sz w:val="24"/>
                <w:lang w:val="en-US" w:eastAsia="zh-CN"/>
              </w:rPr>
              <w:t>10</w:t>
            </w:r>
            <w:r>
              <w:rPr>
                <w:rFonts w:hint="eastAsia" w:ascii="仿宋" w:hAnsi="仿宋" w:eastAsia="仿宋" w:cs="仿宋"/>
                <w:sz w:val="24"/>
              </w:rPr>
              <w:t>分；</w:t>
            </w:r>
          </w:p>
        </w:tc>
      </w:tr>
      <w:tr>
        <w:tblPrEx>
          <w:tblCellMar>
            <w:top w:w="17" w:type="dxa"/>
            <w:left w:w="17" w:type="dxa"/>
            <w:bottom w:w="17" w:type="dxa"/>
            <w:right w:w="17" w:type="dxa"/>
          </w:tblCellMar>
        </w:tblPrEx>
        <w:trPr>
          <w:trHeight w:val="432" w:hRule="atLeast"/>
          <w:jc w:val="center"/>
        </w:trPr>
        <w:tc>
          <w:tcPr>
            <w:tcW w:w="733" w:type="pct"/>
            <w:tcBorders>
              <w:top w:val="single" w:color="000000" w:sz="4" w:space="0"/>
              <w:left w:val="single" w:color="000000" w:sz="4" w:space="0"/>
              <w:bottom w:val="single" w:color="000000" w:sz="4" w:space="0"/>
              <w:right w:val="single" w:color="000000" w:sz="4" w:space="0"/>
            </w:tcBorders>
            <w:tcMar>
              <w:top w:w="17" w:type="dxa"/>
              <w:left w:w="57" w:type="dxa"/>
              <w:bottom w:w="17" w:type="dxa"/>
              <w:right w:w="57" w:type="dxa"/>
            </w:tcMar>
            <w:vAlign w:val="center"/>
          </w:tcPr>
          <w:p>
            <w:pPr>
              <w:jc w:val="center"/>
              <w:rPr>
                <w:rFonts w:ascii="仿宋" w:hAnsi="仿宋" w:eastAsia="仿宋" w:cs="仿宋"/>
                <w:sz w:val="24"/>
              </w:rPr>
            </w:pPr>
            <w:r>
              <w:rPr>
                <w:rFonts w:hint="eastAsia" w:ascii="仿宋" w:hAnsi="仿宋" w:eastAsia="仿宋" w:cs="仿宋"/>
                <w:sz w:val="24"/>
              </w:rPr>
              <w:t>类似业绩</w:t>
            </w:r>
          </w:p>
        </w:tc>
        <w:tc>
          <w:tcPr>
            <w:tcW w:w="482" w:type="pct"/>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 w:val="24"/>
              </w:rPr>
            </w:pPr>
            <w:r>
              <w:rPr>
                <w:rFonts w:hint="eastAsia" w:ascii="仿宋" w:hAnsi="仿宋" w:eastAsia="仿宋" w:cs="仿宋"/>
                <w:sz w:val="24"/>
              </w:rPr>
              <w:t>5分</w:t>
            </w:r>
          </w:p>
        </w:tc>
        <w:tc>
          <w:tcPr>
            <w:tcW w:w="3784" w:type="pct"/>
            <w:tcBorders>
              <w:top w:val="single" w:color="000000" w:sz="4" w:space="0"/>
              <w:left w:val="single" w:color="000000" w:sz="4" w:space="0"/>
              <w:bottom w:val="single" w:color="000000" w:sz="4" w:space="0"/>
              <w:right w:val="single" w:color="000000" w:sz="4" w:space="0"/>
            </w:tcBorders>
            <w:tcMar>
              <w:top w:w="17" w:type="dxa"/>
              <w:left w:w="57" w:type="dxa"/>
              <w:bottom w:w="17" w:type="dxa"/>
              <w:right w:w="57" w:type="dxa"/>
            </w:tcMar>
            <w:vAlign w:val="center"/>
          </w:tcPr>
          <w:p>
            <w:pPr>
              <w:rPr>
                <w:rFonts w:ascii="仿宋" w:hAnsi="仿宋" w:eastAsia="仿宋" w:cs="仿宋"/>
                <w:sz w:val="24"/>
              </w:rPr>
            </w:pPr>
            <w:r>
              <w:rPr>
                <w:rFonts w:hint="eastAsia" w:ascii="仿宋" w:hAnsi="仿宋" w:eastAsia="仿宋" w:cs="仿宋"/>
                <w:sz w:val="24"/>
              </w:rPr>
              <w:t>供应商按要求提供20</w:t>
            </w:r>
            <w:r>
              <w:rPr>
                <w:rFonts w:hint="eastAsia" w:ascii="仿宋" w:hAnsi="仿宋" w:eastAsia="仿宋" w:cs="仿宋"/>
                <w:sz w:val="24"/>
                <w:lang w:val="en-US" w:eastAsia="zh-CN"/>
              </w:rPr>
              <w:t>20</w:t>
            </w:r>
            <w:r>
              <w:rPr>
                <w:rFonts w:hint="eastAsia" w:ascii="仿宋" w:hAnsi="仿宋" w:eastAsia="仿宋" w:cs="仿宋"/>
                <w:sz w:val="24"/>
              </w:rPr>
              <w:t>年</w:t>
            </w:r>
            <w:r>
              <w:rPr>
                <w:rFonts w:hint="eastAsia" w:ascii="仿宋" w:hAnsi="仿宋" w:eastAsia="仿宋" w:cs="仿宋"/>
                <w:sz w:val="24"/>
                <w:lang w:val="en-US" w:eastAsia="zh-CN"/>
              </w:rPr>
              <w:t>3</w:t>
            </w:r>
            <w:r>
              <w:rPr>
                <w:rFonts w:hint="eastAsia" w:ascii="仿宋" w:hAnsi="仿宋" w:eastAsia="仿宋" w:cs="仿宋"/>
                <w:sz w:val="24"/>
              </w:rPr>
              <w:t>月1日起至今类似项目业绩，每提供一个得1分，最高得5分。</w:t>
            </w:r>
          </w:p>
          <w:p>
            <w:pPr>
              <w:rPr>
                <w:rFonts w:ascii="仿宋" w:hAnsi="仿宋" w:eastAsia="仿宋" w:cs="仿宋"/>
                <w:sz w:val="24"/>
              </w:rPr>
            </w:pPr>
          </w:p>
        </w:tc>
      </w:tr>
      <w:tr>
        <w:tblPrEx>
          <w:tblCellMar>
            <w:top w:w="17" w:type="dxa"/>
            <w:left w:w="17" w:type="dxa"/>
            <w:bottom w:w="17" w:type="dxa"/>
            <w:right w:w="17" w:type="dxa"/>
          </w:tblCellMar>
        </w:tblPrEx>
        <w:trPr>
          <w:trHeight w:val="2846" w:hRule="atLeast"/>
          <w:jc w:val="center"/>
        </w:trPr>
        <w:tc>
          <w:tcPr>
            <w:tcW w:w="733" w:type="pct"/>
            <w:tcBorders>
              <w:top w:val="single" w:color="000000" w:sz="4" w:space="0"/>
              <w:left w:val="single" w:color="000000" w:sz="4" w:space="0"/>
              <w:bottom w:val="single" w:color="auto" w:sz="4" w:space="0"/>
              <w:right w:val="single" w:color="000000" w:sz="4" w:space="0"/>
            </w:tcBorders>
            <w:tcMar>
              <w:top w:w="17" w:type="dxa"/>
              <w:left w:w="57" w:type="dxa"/>
              <w:bottom w:w="17" w:type="dxa"/>
              <w:right w:w="57" w:type="dxa"/>
            </w:tcMar>
            <w:vAlign w:val="center"/>
          </w:tcPr>
          <w:p>
            <w:pPr>
              <w:jc w:val="center"/>
              <w:rPr>
                <w:rFonts w:ascii="仿宋" w:hAnsi="仿宋" w:eastAsia="仿宋" w:cs="仿宋"/>
                <w:sz w:val="24"/>
                <w:highlight w:val="yellow"/>
              </w:rPr>
            </w:pPr>
            <w:r>
              <w:rPr>
                <w:rFonts w:hint="eastAsia" w:ascii="仿宋" w:hAnsi="仿宋" w:eastAsia="仿宋" w:cs="仿宋"/>
                <w:sz w:val="24"/>
              </w:rPr>
              <w:t>项目组人员配置</w:t>
            </w:r>
          </w:p>
        </w:tc>
        <w:tc>
          <w:tcPr>
            <w:tcW w:w="482" w:type="pct"/>
            <w:tcBorders>
              <w:top w:val="single" w:color="000000" w:sz="4" w:space="0"/>
              <w:left w:val="single" w:color="000000" w:sz="4" w:space="0"/>
              <w:bottom w:val="single" w:color="auto" w:sz="4" w:space="0"/>
              <w:right w:val="single" w:color="000000" w:sz="4" w:space="0"/>
            </w:tcBorders>
            <w:vAlign w:val="center"/>
          </w:tcPr>
          <w:p>
            <w:pPr>
              <w:jc w:val="center"/>
              <w:rPr>
                <w:rFonts w:ascii="仿宋" w:hAnsi="仿宋" w:eastAsia="仿宋" w:cs="仿宋"/>
                <w:sz w:val="24"/>
              </w:rPr>
            </w:pPr>
            <w:r>
              <w:rPr>
                <w:rFonts w:hint="eastAsia" w:ascii="仿宋" w:hAnsi="仿宋" w:eastAsia="仿宋" w:cs="仿宋"/>
                <w:sz w:val="24"/>
                <w:lang w:val="en-US" w:eastAsia="zh-CN"/>
              </w:rPr>
              <w:t>30</w:t>
            </w:r>
            <w:r>
              <w:rPr>
                <w:rFonts w:hint="eastAsia" w:ascii="仿宋" w:hAnsi="仿宋" w:eastAsia="仿宋" w:cs="仿宋"/>
                <w:sz w:val="24"/>
              </w:rPr>
              <w:t>分</w:t>
            </w:r>
          </w:p>
        </w:tc>
        <w:tc>
          <w:tcPr>
            <w:tcW w:w="3784" w:type="pct"/>
            <w:tcBorders>
              <w:top w:val="single" w:color="000000" w:sz="4" w:space="0"/>
              <w:left w:val="single" w:color="000000" w:sz="4" w:space="0"/>
              <w:bottom w:val="single" w:color="auto" w:sz="4" w:space="0"/>
              <w:right w:val="single" w:color="000000" w:sz="4" w:space="0"/>
            </w:tcBorders>
            <w:tcMar>
              <w:top w:w="17" w:type="dxa"/>
              <w:left w:w="57" w:type="dxa"/>
              <w:bottom w:w="17" w:type="dxa"/>
              <w:right w:w="57" w:type="dxa"/>
            </w:tcMar>
            <w:vAlign w:val="center"/>
          </w:tcPr>
          <w:p>
            <w:pPr>
              <w:rPr>
                <w:rFonts w:ascii="仿宋" w:hAnsi="仿宋" w:eastAsia="仿宋" w:cs="仿宋"/>
                <w:sz w:val="24"/>
                <w:highlight w:val="yellow"/>
              </w:rPr>
            </w:pPr>
            <w:r>
              <w:rPr>
                <w:rFonts w:hint="eastAsia" w:ascii="仿宋" w:hAnsi="仿宋" w:eastAsia="仿宋" w:cs="仿宋"/>
                <w:sz w:val="24"/>
                <w:lang w:val="en-US" w:eastAsia="zh-CN"/>
              </w:rPr>
              <w:t>项目组成人员提供按学历、职称、运维经验证等三方面进行评比：优秀的得20.01-30分；一般的得10.01-20分；较差的得1-10分；未提供的得0分。</w:t>
            </w:r>
          </w:p>
        </w:tc>
      </w:tr>
      <w:tr>
        <w:tblPrEx>
          <w:tblCellMar>
            <w:top w:w="17" w:type="dxa"/>
            <w:left w:w="17" w:type="dxa"/>
            <w:bottom w:w="17" w:type="dxa"/>
            <w:right w:w="17" w:type="dxa"/>
          </w:tblCellMar>
        </w:tblPrEx>
        <w:trPr>
          <w:trHeight w:val="454" w:hRule="atLeast"/>
          <w:jc w:val="center"/>
        </w:trPr>
        <w:tc>
          <w:tcPr>
            <w:tcW w:w="733" w:type="pct"/>
            <w:tcBorders>
              <w:top w:val="single" w:color="auto" w:sz="4" w:space="0"/>
              <w:left w:val="single" w:color="auto" w:sz="4" w:space="0"/>
              <w:bottom w:val="single" w:color="auto" w:sz="4" w:space="0"/>
              <w:right w:val="single" w:color="auto" w:sz="4" w:space="0"/>
            </w:tcBorders>
            <w:tcMar>
              <w:top w:w="17" w:type="dxa"/>
              <w:left w:w="57" w:type="dxa"/>
              <w:bottom w:w="17" w:type="dxa"/>
              <w:right w:w="57" w:type="dxa"/>
            </w:tcMar>
            <w:vAlign w:val="center"/>
          </w:tcPr>
          <w:p>
            <w:pPr>
              <w:jc w:val="center"/>
              <w:rPr>
                <w:rFonts w:ascii="仿宋" w:hAnsi="仿宋" w:eastAsia="仿宋" w:cs="仿宋"/>
                <w:sz w:val="24"/>
              </w:rPr>
            </w:pPr>
            <w:r>
              <w:rPr>
                <w:rFonts w:hint="eastAsia" w:ascii="仿宋" w:hAnsi="仿宋" w:eastAsia="仿宋" w:cs="仿宋"/>
                <w:sz w:val="24"/>
              </w:rPr>
              <w:t>服务方案</w:t>
            </w:r>
          </w:p>
        </w:tc>
        <w:tc>
          <w:tcPr>
            <w:tcW w:w="482" w:type="pct"/>
            <w:tcBorders>
              <w:top w:val="single" w:color="auto" w:sz="4" w:space="0"/>
              <w:left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lang w:val="en-US" w:eastAsia="zh-CN"/>
              </w:rPr>
              <w:t>20</w:t>
            </w:r>
            <w:r>
              <w:rPr>
                <w:rFonts w:hint="eastAsia" w:ascii="仿宋" w:hAnsi="仿宋" w:eastAsia="仿宋" w:cs="仿宋"/>
                <w:sz w:val="24"/>
              </w:rPr>
              <w:t>分</w:t>
            </w:r>
          </w:p>
        </w:tc>
        <w:tc>
          <w:tcPr>
            <w:tcW w:w="3784" w:type="pct"/>
            <w:tcBorders>
              <w:top w:val="single" w:color="auto" w:sz="4" w:space="0"/>
              <w:left w:val="single" w:color="auto" w:sz="4" w:space="0"/>
              <w:bottom w:val="single" w:color="auto" w:sz="4" w:space="0"/>
              <w:right w:val="single" w:color="auto" w:sz="4" w:space="0"/>
            </w:tcBorders>
            <w:tcMar>
              <w:top w:w="17" w:type="dxa"/>
              <w:left w:w="57" w:type="dxa"/>
              <w:bottom w:w="17" w:type="dxa"/>
              <w:right w:w="57" w:type="dxa"/>
            </w:tcMar>
            <w:vAlign w:val="center"/>
          </w:tcPr>
          <w:p>
            <w:pPr>
              <w:rPr>
                <w:rFonts w:hint="default" w:ascii="仿宋" w:hAnsi="仿宋" w:eastAsia="仿宋" w:cs="仿宋"/>
                <w:sz w:val="24"/>
                <w:lang w:val="en-US" w:eastAsia="zh-CN"/>
              </w:rPr>
            </w:pPr>
            <w:r>
              <w:rPr>
                <w:rFonts w:hint="eastAsia" w:ascii="仿宋" w:hAnsi="仿宋" w:eastAsia="仿宋" w:cs="仿宋"/>
                <w:sz w:val="24"/>
              </w:rPr>
              <w:t>熟悉项目所有工作内容，提供的服务方案规范性及标准化程度很高得1</w:t>
            </w:r>
            <w:r>
              <w:rPr>
                <w:rFonts w:hint="eastAsia" w:ascii="仿宋" w:hAnsi="仿宋" w:eastAsia="仿宋" w:cs="仿宋"/>
                <w:sz w:val="24"/>
                <w:lang w:val="en-US" w:eastAsia="zh-CN"/>
              </w:rPr>
              <w:t>5.01</w:t>
            </w:r>
            <w:r>
              <w:rPr>
                <w:rFonts w:hint="eastAsia" w:ascii="仿宋" w:hAnsi="仿宋" w:eastAsia="仿宋" w:cs="仿宋"/>
                <w:sz w:val="24"/>
              </w:rPr>
              <w:t>-</w:t>
            </w:r>
            <w:r>
              <w:rPr>
                <w:rFonts w:hint="eastAsia" w:ascii="仿宋" w:hAnsi="仿宋" w:eastAsia="仿宋" w:cs="仿宋"/>
                <w:sz w:val="24"/>
                <w:lang w:val="en-US" w:eastAsia="zh-CN"/>
              </w:rPr>
              <w:t>20</w:t>
            </w:r>
            <w:r>
              <w:rPr>
                <w:rFonts w:hint="eastAsia" w:ascii="仿宋" w:hAnsi="仿宋" w:eastAsia="仿宋" w:cs="仿宋"/>
                <w:sz w:val="24"/>
              </w:rPr>
              <w:t>分</w:t>
            </w:r>
            <w:r>
              <w:rPr>
                <w:rFonts w:hint="eastAsia" w:ascii="仿宋" w:hAnsi="仿宋" w:eastAsia="仿宋" w:cs="仿宋"/>
                <w:sz w:val="24"/>
                <w:lang w:eastAsia="zh-CN"/>
              </w:rPr>
              <w:t>；</w:t>
            </w:r>
            <w:r>
              <w:rPr>
                <w:rFonts w:hint="eastAsia" w:ascii="仿宋" w:hAnsi="仿宋" w:eastAsia="仿宋" w:cs="仿宋"/>
                <w:sz w:val="24"/>
                <w:lang w:val="en-US" w:eastAsia="zh-CN"/>
              </w:rPr>
              <w:t>一般的得9.01-15分；较差的得0-9分。</w:t>
            </w:r>
          </w:p>
        </w:tc>
      </w:tr>
      <w:tr>
        <w:tblPrEx>
          <w:tblCellMar>
            <w:top w:w="17" w:type="dxa"/>
            <w:left w:w="17" w:type="dxa"/>
            <w:bottom w:w="17" w:type="dxa"/>
            <w:right w:w="17" w:type="dxa"/>
          </w:tblCellMar>
        </w:tblPrEx>
        <w:trPr>
          <w:trHeight w:val="454" w:hRule="atLeast"/>
          <w:jc w:val="center"/>
        </w:trPr>
        <w:tc>
          <w:tcPr>
            <w:tcW w:w="733" w:type="pct"/>
            <w:tcBorders>
              <w:top w:val="single" w:color="auto" w:sz="4" w:space="0"/>
              <w:left w:val="single" w:color="auto" w:sz="4" w:space="0"/>
              <w:bottom w:val="single" w:color="auto" w:sz="4" w:space="0"/>
              <w:right w:val="single" w:color="auto" w:sz="4" w:space="0"/>
            </w:tcBorders>
            <w:tcMar>
              <w:top w:w="17" w:type="dxa"/>
              <w:left w:w="57" w:type="dxa"/>
              <w:bottom w:w="17" w:type="dxa"/>
              <w:right w:w="57" w:type="dxa"/>
            </w:tcMar>
            <w:vAlign w:val="center"/>
          </w:tcPr>
          <w:p>
            <w:pPr>
              <w:jc w:val="center"/>
              <w:rPr>
                <w:rFonts w:hint="default" w:ascii="仿宋" w:hAnsi="仿宋" w:eastAsia="仿宋" w:cs="仿宋"/>
                <w:sz w:val="24"/>
                <w:lang w:val="en-US" w:eastAsia="zh-CN"/>
              </w:rPr>
            </w:pPr>
            <w:r>
              <w:rPr>
                <w:rFonts w:hint="eastAsia" w:ascii="仿宋" w:hAnsi="仿宋" w:eastAsia="仿宋" w:cs="仿宋"/>
                <w:sz w:val="24"/>
                <w:lang w:val="en-US" w:eastAsia="zh-CN"/>
              </w:rPr>
              <w:t>售后服务</w:t>
            </w:r>
          </w:p>
        </w:tc>
        <w:tc>
          <w:tcPr>
            <w:tcW w:w="482" w:type="pct"/>
            <w:tcBorders>
              <w:left w:val="single" w:color="auto" w:sz="4" w:space="0"/>
              <w:bottom w:val="single" w:color="auto" w:sz="4" w:space="0"/>
              <w:right w:val="single" w:color="auto" w:sz="4" w:space="0"/>
            </w:tcBorders>
            <w:vAlign w:val="center"/>
          </w:tcPr>
          <w:p>
            <w:pPr>
              <w:jc w:val="center"/>
              <w:rPr>
                <w:rFonts w:hint="default" w:ascii="仿宋" w:hAnsi="仿宋" w:eastAsia="仿宋" w:cs="仿宋"/>
                <w:sz w:val="24"/>
                <w:lang w:val="en-US" w:eastAsia="zh-CN"/>
              </w:rPr>
            </w:pPr>
            <w:r>
              <w:rPr>
                <w:rFonts w:hint="eastAsia" w:ascii="仿宋" w:hAnsi="仿宋" w:eastAsia="仿宋" w:cs="仿宋"/>
                <w:sz w:val="24"/>
                <w:lang w:val="en-US" w:eastAsia="zh-CN"/>
              </w:rPr>
              <w:t>25分</w:t>
            </w:r>
          </w:p>
        </w:tc>
        <w:tc>
          <w:tcPr>
            <w:tcW w:w="3784" w:type="pct"/>
            <w:tcBorders>
              <w:top w:val="single" w:color="auto" w:sz="4" w:space="0"/>
              <w:left w:val="single" w:color="auto" w:sz="4" w:space="0"/>
              <w:bottom w:val="single" w:color="auto" w:sz="4" w:space="0"/>
              <w:right w:val="single" w:color="auto" w:sz="4" w:space="0"/>
            </w:tcBorders>
            <w:tcMar>
              <w:top w:w="17" w:type="dxa"/>
              <w:left w:w="57" w:type="dxa"/>
              <w:bottom w:w="17" w:type="dxa"/>
              <w:right w:w="57" w:type="dxa"/>
            </w:tcMar>
            <w:vAlign w:val="center"/>
          </w:tcPr>
          <w:p>
            <w:pPr>
              <w:rPr>
                <w:rFonts w:hint="default" w:ascii="仿宋" w:hAnsi="仿宋" w:eastAsia="仿宋" w:cs="仿宋"/>
                <w:sz w:val="24"/>
                <w:lang w:val="en-US" w:eastAsia="zh-CN"/>
              </w:rPr>
            </w:pPr>
            <w:r>
              <w:rPr>
                <w:rFonts w:hint="eastAsia" w:ascii="仿宋" w:hAnsi="仿宋" w:eastAsia="仿宋" w:cs="仿宋"/>
                <w:sz w:val="24"/>
                <w:lang w:val="en-US" w:eastAsia="zh-CN"/>
              </w:rPr>
              <w:t>售后服务满足需求的前提下；方案优秀的得15.01-25分；一般的得9.01-15分；较差的得1-9分</w:t>
            </w:r>
          </w:p>
        </w:tc>
      </w:tr>
    </w:tbl>
    <w:p>
      <w:pPr>
        <w:rPr>
          <w:rFonts w:ascii="Times New Roman" w:hAnsi="Times New Roman" w:eastAsia="宋体" w:cs="Times New Roman"/>
          <w:szCs w:val="20"/>
        </w:rPr>
      </w:pPr>
    </w:p>
    <w:p>
      <w:pPr>
        <w:pStyle w:val="8"/>
        <w:widowControl/>
        <w:spacing w:line="580" w:lineRule="exact"/>
        <w:ind w:firstLine="632"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日    </w:t>
      </w: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r>
        <w:rPr>
          <w:rFonts w:ascii="仿宋_GB2312" w:hAnsi="仿宋_GB2312" w:eastAsia="仿宋_GB2312" w:cs="仿宋_GB2312"/>
          <w:sz w:val="32"/>
          <w:szCs w:val="32"/>
        </w:rPr>
        <w:t>投标文件模板（</w:t>
      </w:r>
      <w:r>
        <w:rPr>
          <w:rFonts w:hint="eastAsia" w:ascii="仿宋_GB2312" w:hAnsi="仿宋_GB2312" w:eastAsia="仿宋_GB2312" w:cs="仿宋_GB2312"/>
          <w:sz w:val="32"/>
          <w:szCs w:val="32"/>
        </w:rPr>
        <w:t>*标项为必有项目，不得缺少</w:t>
      </w:r>
      <w:r>
        <w:rPr>
          <w:rFonts w:ascii="仿宋_GB2312" w:hAnsi="仿宋_GB2312" w:eastAsia="仿宋_GB2312" w:cs="仿宋_GB2312"/>
          <w:sz w:val="32"/>
          <w:szCs w:val="32"/>
        </w:rPr>
        <w:t>）</w:t>
      </w: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廊坊市人民政府网站机房运维</w:t>
      </w:r>
      <w:r>
        <w:rPr>
          <w:rFonts w:hint="eastAsia" w:ascii="方正小标宋简体" w:hAnsi="方正小标宋简体" w:eastAsia="方正小标宋简体" w:cs="方正小标宋简体"/>
          <w:sz w:val="44"/>
          <w:szCs w:val="44"/>
        </w:rPr>
        <w:t>服务</w:t>
      </w:r>
    </w:p>
    <w:p>
      <w:pPr>
        <w:spacing w:line="58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采购报价文件</w:t>
      </w: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left"/>
        <w:outlineLvl w:val="0"/>
        <w:rPr>
          <w:rFonts w:ascii="仿宋" w:hAnsi="仿宋" w:eastAsia="仿宋" w:cs="方正小标宋简体"/>
          <w:sz w:val="32"/>
          <w:szCs w:val="32"/>
          <w:u w:val="single"/>
        </w:rPr>
      </w:pPr>
      <w:r>
        <w:rPr>
          <w:rFonts w:hint="eastAsia" w:ascii="仿宋" w:hAnsi="仿宋" w:eastAsia="仿宋" w:cs="方正小标宋简体"/>
          <w:sz w:val="32"/>
          <w:szCs w:val="32"/>
        </w:rPr>
        <w:t>报价公司名称（公章）：</w:t>
      </w:r>
      <w:r>
        <w:rPr>
          <w:rFonts w:hint="eastAsia" w:ascii="仿宋" w:hAnsi="仿宋" w:eastAsia="仿宋" w:cs="方正小标宋简体"/>
          <w:sz w:val="32"/>
          <w:szCs w:val="32"/>
          <w:u w:val="single"/>
        </w:rPr>
        <w:t xml:space="preserve">            </w:t>
      </w:r>
    </w:p>
    <w:p>
      <w:pPr>
        <w:spacing w:line="580" w:lineRule="exact"/>
        <w:jc w:val="left"/>
        <w:outlineLvl w:val="0"/>
        <w:rPr>
          <w:rFonts w:ascii="仿宋" w:hAnsi="仿宋" w:eastAsia="仿宋" w:cs="方正小标宋简体"/>
          <w:sz w:val="32"/>
          <w:szCs w:val="32"/>
          <w:u w:val="single"/>
        </w:rPr>
      </w:pPr>
      <w:r>
        <w:rPr>
          <w:rFonts w:ascii="仿宋" w:hAnsi="仿宋" w:eastAsia="仿宋" w:cs="方正小标宋简体"/>
          <w:sz w:val="32"/>
          <w:szCs w:val="32"/>
        </w:rPr>
        <w:t>法定代表人或授权委托人（签字或盖章）：</w:t>
      </w:r>
      <w:r>
        <w:rPr>
          <w:rFonts w:hint="eastAsia" w:ascii="仿宋" w:hAnsi="仿宋" w:eastAsia="仿宋" w:cs="方正小标宋简体"/>
          <w:sz w:val="32"/>
          <w:szCs w:val="32"/>
          <w:u w:val="single"/>
        </w:rPr>
        <w:t xml:space="preserve">         </w:t>
      </w:r>
    </w:p>
    <w:p>
      <w:pPr>
        <w:spacing w:line="580" w:lineRule="exact"/>
        <w:jc w:val="left"/>
        <w:outlineLvl w:val="0"/>
        <w:rPr>
          <w:rFonts w:ascii="仿宋" w:hAnsi="仿宋" w:eastAsia="仿宋" w:cs="方正小标宋简体"/>
          <w:sz w:val="32"/>
          <w:szCs w:val="32"/>
          <w:u w:val="single"/>
        </w:rPr>
      </w:pPr>
      <w:r>
        <w:rPr>
          <w:rFonts w:ascii="仿宋" w:hAnsi="仿宋" w:eastAsia="仿宋" w:cs="方正小标宋简体"/>
          <w:sz w:val="32"/>
          <w:szCs w:val="32"/>
          <w:u w:val="single"/>
        </w:rPr>
        <w:t>报价时间：</w:t>
      </w:r>
      <w:r>
        <w:rPr>
          <w:rFonts w:hint="eastAsia" w:ascii="仿宋" w:hAnsi="仿宋" w:eastAsia="仿宋" w:cs="方正小标宋简体"/>
          <w:sz w:val="32"/>
          <w:szCs w:val="32"/>
          <w:u w:val="single"/>
        </w:rPr>
        <w:t xml:space="preserve">    年    月     日</w:t>
      </w:r>
    </w:p>
    <w:p>
      <w:pPr>
        <w:spacing w:line="580" w:lineRule="exact"/>
        <w:jc w:val="left"/>
        <w:outlineLvl w:val="0"/>
        <w:rPr>
          <w:rFonts w:ascii="仿宋" w:hAnsi="仿宋" w:eastAsia="仿宋" w:cs="方正小标宋简体"/>
          <w:sz w:val="32"/>
          <w:szCs w:val="32"/>
          <w:u w:val="single"/>
        </w:rPr>
      </w:pPr>
    </w:p>
    <w:p>
      <w:pPr>
        <w:spacing w:line="580" w:lineRule="exact"/>
        <w:jc w:val="left"/>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*一、投 标 函</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致：廊坊市发展和改革委员会：</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(供应商全称)授权 (供应商代表姓名)</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(职务、职称)为我方代表，参加贵方组织的(写明项目名称、； )的招标活动，并对以上项目进行投标。为此：</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1、我方同意在本项目招标文件中规定的开标日起的有效期内（见前附表）遵守</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本投标文件中的承诺且在此期限期满之前均具有约束力。</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2、我方承诺已经具备《中华人民共和国政府采购法》中规定的参加政府采购活动的供应商应当具备的全部条件。</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3、提供投标须知规定的全部投标文件；</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4、按招标文件要求提供和交付的货物和服务的投标报价详见开标一览表。</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5、我方承诺：完全理解投标报价超过开标时公布的预算金额时，投标将被拒绝。</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6、保证忠实地执行双方所签订的合同，并承担合同规定的责任和义务。</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7、承诺完全满足和响应招标文件中的各项商务和技术要求，若有偏差，已在投标文件商务条款偏离表中予以明确特别说明。</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8、保证遵守招标文件的所有规定。</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9、我方完全理解贵方不一定接受最低价的投标或收到的任何投标。</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10、我方愿意向贵方提供任何与本项投标有关的数据、情况和技术资料。若贵方需要，我方愿意提供我方作出的一切承诺的证明材料。</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11、我方已详细审核全部投标文件，包括投标文件修改书（如有的话）、参考资料及有关附件，确认无误。</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12、我方承诺：采购人若需追加采购本项目招标文件所列货物及相关服务的，在不改变合同其他实质性条款的前提下，按相同或更优惠的折扣率保证供货。</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13、 我方承诺提供的所有材料均为真实的、有效的，愿承担所有责任。</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所有有关本投标的一切往来联系方式为：</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地址：     邮编：      电话：         传真：</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供应商代表姓名：    供应商代表联系电话：     E-mail：</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供应商(公章)：</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日 期：</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说明：除可填报项目外，对本投标函的任何修改将被视为非实质性响应投标，从而导致该投标被拒绝。</w:t>
      </w:r>
    </w:p>
    <w:p>
      <w:pPr>
        <w:spacing w:line="580" w:lineRule="exact"/>
        <w:jc w:val="left"/>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*二、报价一览表</w:t>
      </w:r>
    </w:p>
    <w:p>
      <w:pPr>
        <w:spacing w:line="580" w:lineRule="exact"/>
        <w:jc w:val="left"/>
        <w:outlineLvl w:val="0"/>
        <w:rPr>
          <w:rFonts w:ascii="仿宋_GB2312" w:hAnsi="仿宋_GB2312" w:eastAsia="仿宋_GB2312" w:cs="仿宋_GB2312"/>
          <w:b/>
          <w:sz w:val="32"/>
          <w:szCs w:val="32"/>
        </w:rPr>
      </w:pPr>
    </w:p>
    <w:p>
      <w:pPr>
        <w:spacing w:line="580" w:lineRule="exact"/>
        <w:jc w:val="left"/>
        <w:outlineLvl w:val="0"/>
        <w:rPr>
          <w:rFonts w:ascii="仿宋_GB2312" w:hAnsi="仿宋_GB2312" w:eastAsia="仿宋_GB2312" w:cs="仿宋_GB2312"/>
          <w:b/>
          <w:sz w:val="32"/>
          <w:szCs w:val="32"/>
        </w:rPr>
      </w:pPr>
    </w:p>
    <w:p>
      <w:pPr>
        <w:spacing w:line="580" w:lineRule="exact"/>
        <w:jc w:val="center"/>
        <w:outlineLvl w:val="0"/>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廊坊市人民政府网站机房运维服务采购</w:t>
      </w:r>
    </w:p>
    <w:p>
      <w:pPr>
        <w:spacing w:line="58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报价一览表</w:t>
      </w:r>
    </w:p>
    <w:p>
      <w:pPr>
        <w:spacing w:line="580" w:lineRule="exact"/>
        <w:jc w:val="left"/>
        <w:outlineLvl w:val="0"/>
        <w:rPr>
          <w:rFonts w:ascii="仿宋_GB2312" w:hAnsi="仿宋_GB2312" w:eastAsia="仿宋_GB2312" w:cs="仿宋_GB2312"/>
          <w:b/>
          <w:sz w:val="32"/>
          <w:szCs w:val="32"/>
        </w:rPr>
      </w:pPr>
    </w:p>
    <w:p>
      <w:pPr>
        <w:spacing w:line="580" w:lineRule="exact"/>
        <w:jc w:val="left"/>
        <w:outlineLvl w:val="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报价公司（公章）：</w:t>
      </w:r>
      <w:r>
        <w:rPr>
          <w:rFonts w:hint="eastAsia" w:ascii="仿宋_GB2312" w:hAnsi="仿宋_GB2312" w:eastAsia="仿宋_GB2312" w:cs="仿宋_GB2312"/>
          <w:sz w:val="32"/>
          <w:szCs w:val="32"/>
          <w:u w:val="single"/>
        </w:rPr>
        <w:t xml:space="preserve">                </w:t>
      </w:r>
    </w:p>
    <w:p>
      <w:pPr>
        <w:spacing w:line="580" w:lineRule="exact"/>
        <w:jc w:val="left"/>
        <w:outlineLvl w:val="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报价时间：</w:t>
      </w:r>
      <w:r>
        <w:rPr>
          <w:rFonts w:hint="eastAsia" w:ascii="仿宋_GB2312" w:hAnsi="仿宋_GB2312" w:eastAsia="仿宋_GB2312" w:cs="仿宋_GB2312"/>
          <w:sz w:val="32"/>
          <w:szCs w:val="32"/>
          <w:u w:val="single"/>
        </w:rPr>
        <w:t xml:space="preserve">        </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955"/>
        <w:gridCol w:w="5139"/>
        <w:gridCol w:w="113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 w:type="pct"/>
            <w:vAlign w:val="center"/>
          </w:tcPr>
          <w:p>
            <w:pPr>
              <w:pStyle w:val="8"/>
              <w:widowControl/>
              <w:spacing w:line="58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363" w:type="pct"/>
            <w:gridSpan w:val="2"/>
            <w:vAlign w:val="center"/>
          </w:tcPr>
          <w:p>
            <w:pPr>
              <w:pStyle w:val="8"/>
              <w:widowControl/>
              <w:spacing w:line="58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服务内容</w:t>
            </w:r>
          </w:p>
        </w:tc>
        <w:tc>
          <w:tcPr>
            <w:tcW w:w="626" w:type="pct"/>
            <w:vAlign w:val="center"/>
          </w:tcPr>
          <w:p>
            <w:pPr>
              <w:pStyle w:val="8"/>
              <w:widowControl/>
              <w:spacing w:line="58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价格</w:t>
            </w:r>
          </w:p>
        </w:tc>
        <w:tc>
          <w:tcPr>
            <w:tcW w:w="716" w:type="pct"/>
            <w:vAlign w:val="center"/>
          </w:tcPr>
          <w:p>
            <w:pPr>
              <w:pStyle w:val="8"/>
              <w:widowControl/>
              <w:spacing w:line="58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 w:type="pct"/>
          </w:tcPr>
          <w:p>
            <w:pPr>
              <w:pStyle w:val="8"/>
              <w:widowControl/>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363" w:type="pct"/>
            <w:gridSpan w:val="2"/>
          </w:tcPr>
          <w:p>
            <w:pPr>
              <w:pStyle w:val="8"/>
              <w:widowControl/>
              <w:spacing w:line="580" w:lineRule="exact"/>
              <w:rPr>
                <w:rFonts w:hint="default" w:ascii="仿宋_GB2312" w:hAnsi="仿宋_GB2312" w:eastAsia="仿宋_GB2312" w:cs="仿宋_GB2312"/>
                <w:sz w:val="32"/>
                <w:szCs w:val="32"/>
                <w:lang w:val="en-US" w:eastAsia="zh-CN"/>
              </w:rPr>
            </w:pPr>
            <w:r>
              <w:rPr>
                <w:rFonts w:hint="eastAsia" w:ascii="仿宋" w:hAnsi="仿宋" w:eastAsia="仿宋" w:cs="宋体"/>
                <w:sz w:val="32"/>
                <w:szCs w:val="32"/>
                <w:lang w:val="en-US" w:eastAsia="zh-CN"/>
              </w:rPr>
              <w:t xml:space="preserve"> 完全满足用户采购文件中所提的要求</w:t>
            </w:r>
          </w:p>
        </w:tc>
        <w:tc>
          <w:tcPr>
            <w:tcW w:w="626" w:type="pct"/>
          </w:tcPr>
          <w:p>
            <w:pPr>
              <w:pStyle w:val="8"/>
              <w:widowControl/>
              <w:spacing w:line="580" w:lineRule="exact"/>
              <w:rPr>
                <w:rFonts w:ascii="仿宋_GB2312" w:hAnsi="仿宋_GB2312" w:eastAsia="仿宋_GB2312" w:cs="仿宋_GB2312"/>
                <w:sz w:val="32"/>
                <w:szCs w:val="32"/>
              </w:rPr>
            </w:pPr>
          </w:p>
        </w:tc>
        <w:tc>
          <w:tcPr>
            <w:tcW w:w="716" w:type="pct"/>
          </w:tcPr>
          <w:p>
            <w:pPr>
              <w:pStyle w:val="8"/>
              <w:widowControl/>
              <w:spacing w:line="580" w:lineRule="exact"/>
              <w:rPr>
                <w:rFonts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 w:type="pct"/>
          </w:tcPr>
          <w:p>
            <w:pPr>
              <w:pStyle w:val="8"/>
              <w:widowControl/>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27" w:type="pct"/>
          </w:tcPr>
          <w:p>
            <w:pPr>
              <w:pStyle w:val="8"/>
              <w:widowControl/>
              <w:spacing w:line="580" w:lineRule="exact"/>
              <w:rPr>
                <w:rFonts w:ascii="仿宋_GB2312" w:hAnsi="仿宋_GB2312" w:eastAsia="仿宋_GB2312" w:cs="仿宋_GB2312"/>
                <w:sz w:val="32"/>
                <w:szCs w:val="32"/>
              </w:rPr>
            </w:pPr>
            <w:r>
              <w:rPr>
                <w:rFonts w:ascii="仿宋_GB2312" w:hAnsi="仿宋_GB2312" w:eastAsia="仿宋_GB2312" w:cs="仿宋_GB2312"/>
                <w:sz w:val="32"/>
                <w:szCs w:val="32"/>
              </w:rPr>
              <w:t>总价</w:t>
            </w:r>
          </w:p>
        </w:tc>
        <w:tc>
          <w:tcPr>
            <w:tcW w:w="3462" w:type="pct"/>
            <w:gridSpan w:val="2"/>
          </w:tcPr>
          <w:p>
            <w:pPr>
              <w:pStyle w:val="8"/>
              <w:widowControl/>
              <w:spacing w:line="580" w:lineRule="exact"/>
              <w:rPr>
                <w:rFonts w:ascii="仿宋_GB2312" w:hAnsi="仿宋_GB2312" w:eastAsia="仿宋_GB2312" w:cs="仿宋_GB2312"/>
                <w:sz w:val="32"/>
                <w:szCs w:val="32"/>
              </w:rPr>
            </w:pPr>
          </w:p>
        </w:tc>
        <w:tc>
          <w:tcPr>
            <w:tcW w:w="716" w:type="pct"/>
          </w:tcPr>
          <w:p>
            <w:pPr>
              <w:pStyle w:val="8"/>
              <w:widowControl/>
              <w:spacing w:line="580" w:lineRule="exact"/>
              <w:rPr>
                <w:rFonts w:ascii="仿宋_GB2312" w:hAnsi="仿宋_GB2312" w:eastAsia="仿宋_GB2312" w:cs="仿宋_GB2312"/>
                <w:sz w:val="32"/>
                <w:szCs w:val="32"/>
              </w:rPr>
            </w:pPr>
          </w:p>
        </w:tc>
      </w:tr>
    </w:tbl>
    <w:p>
      <w:pPr>
        <w:spacing w:line="580" w:lineRule="exact"/>
        <w:jc w:val="left"/>
        <w:outlineLvl w:val="0"/>
        <w:rPr>
          <w:rFonts w:hint="default" w:ascii="仿宋_GB2312" w:hAnsi="仿宋_GB2312" w:eastAsia="仿宋_GB2312" w:cs="仿宋_GB2312"/>
          <w:b/>
          <w:sz w:val="32"/>
          <w:szCs w:val="32"/>
          <w:u w:val="single"/>
          <w:lang w:val="en-US" w:eastAsia="zh-CN"/>
        </w:rPr>
      </w:pPr>
      <w:r>
        <w:rPr>
          <w:rFonts w:ascii="仿宋_GB2312" w:hAnsi="仿宋_GB2312" w:eastAsia="仿宋_GB2312" w:cs="仿宋_GB2312"/>
          <w:b/>
          <w:sz w:val="32"/>
          <w:szCs w:val="32"/>
          <w:u w:val="single"/>
        </w:rPr>
        <w:t>报价说明：本表所报单价应包含购买本服务项目所需的各类费用（包含但不限于税费、人员工资、差旅费等）</w:t>
      </w:r>
      <w:r>
        <w:rPr>
          <w:rFonts w:hint="eastAsia" w:ascii="仿宋_GB2312" w:hAnsi="仿宋_GB2312" w:eastAsia="仿宋_GB2312" w:cs="仿宋_GB2312"/>
          <w:b/>
          <w:sz w:val="32"/>
          <w:szCs w:val="32"/>
          <w:u w:val="single"/>
          <w:lang w:eastAsia="zh-CN"/>
        </w:rPr>
        <w:t>，</w:t>
      </w:r>
      <w:r>
        <w:rPr>
          <w:rFonts w:hint="eastAsia" w:ascii="仿宋_GB2312" w:hAnsi="仿宋_GB2312" w:eastAsia="仿宋_GB2312" w:cs="仿宋_GB2312"/>
          <w:b/>
          <w:sz w:val="32"/>
          <w:szCs w:val="32"/>
          <w:u w:val="single"/>
          <w:lang w:val="en-US" w:eastAsia="zh-CN"/>
        </w:rPr>
        <w:t>报价为每年的价格</w:t>
      </w:r>
    </w:p>
    <w:p>
      <w:pPr>
        <w:spacing w:line="580" w:lineRule="exact"/>
        <w:jc w:val="left"/>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*三、资质证明文件：</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1、授权委托书；</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廊坊市发展和改革委员会：</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本授权委托书声明：注册于（供应商住址）的（供应商名称） 。法定代表人（法定代表人姓名、职务、身份证号）代表本公司在下面授权的 （供应商代表姓名、职务、身份证号）为本公司的合法代理人，就贵方组织的项目（项目名称</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以本公司名义处理一切与之有关的事务。</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单位名称（公章）</w:t>
      </w:r>
    </w:p>
    <w:p>
      <w:pPr>
        <w:spacing w:line="580" w:lineRule="exact"/>
        <w:jc w:val="righ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w:t>
      </w:r>
    </w:p>
    <w:p>
      <w:pPr>
        <w:spacing w:line="58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委托代理人身份证复印件（正反面） 法定代表人身份证复印件（正反面）</w:t>
      </w:r>
    </w:p>
    <w:p>
      <w:pPr>
        <w:spacing w:line="58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（粘贴此处）                        （粘贴此处）</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2、营业执照复印件（加盖公章）；</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3、符合《政府采购法》第二十二条规定承诺函（格式自拟，加盖公章）；</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四、评审相关资料。</w:t>
      </w:r>
    </w:p>
    <w:sectPr>
      <w:footerReference r:id="rId3" w:type="default"/>
      <w:pgSz w:w="11906" w:h="16838"/>
      <w:pgMar w:top="2098" w:right="1474" w:bottom="1984" w:left="1587" w:header="851" w:footer="992" w:gutter="0"/>
      <w:cols w:space="0" w:num="1"/>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lODY0ODU2OTEwZWM2YjM2NmE3ZTY5ZDM2ZWE5MWIifQ=="/>
  </w:docVars>
  <w:rsids>
    <w:rsidRoot w:val="022E2A61"/>
    <w:rsid w:val="00193E9A"/>
    <w:rsid w:val="002D734B"/>
    <w:rsid w:val="004A7080"/>
    <w:rsid w:val="005D6D64"/>
    <w:rsid w:val="00706119"/>
    <w:rsid w:val="00710B7E"/>
    <w:rsid w:val="00722E74"/>
    <w:rsid w:val="00875306"/>
    <w:rsid w:val="0090321D"/>
    <w:rsid w:val="009E7B79"/>
    <w:rsid w:val="00A71E43"/>
    <w:rsid w:val="00C33D6D"/>
    <w:rsid w:val="00C84FB4"/>
    <w:rsid w:val="00CA5039"/>
    <w:rsid w:val="00DF16B6"/>
    <w:rsid w:val="00E24CEF"/>
    <w:rsid w:val="00E2751A"/>
    <w:rsid w:val="00F35F36"/>
    <w:rsid w:val="00FA30E7"/>
    <w:rsid w:val="022E2A61"/>
    <w:rsid w:val="02FE3E7B"/>
    <w:rsid w:val="0A466107"/>
    <w:rsid w:val="0C8F7B8F"/>
    <w:rsid w:val="0DB678E7"/>
    <w:rsid w:val="11313100"/>
    <w:rsid w:val="134F56FA"/>
    <w:rsid w:val="19B5703B"/>
    <w:rsid w:val="1C7440F0"/>
    <w:rsid w:val="1E082012"/>
    <w:rsid w:val="1F8D061A"/>
    <w:rsid w:val="243852A8"/>
    <w:rsid w:val="28F30470"/>
    <w:rsid w:val="2D025200"/>
    <w:rsid w:val="2D054871"/>
    <w:rsid w:val="36ED62AC"/>
    <w:rsid w:val="38B71271"/>
    <w:rsid w:val="3B4D6FD4"/>
    <w:rsid w:val="3E957020"/>
    <w:rsid w:val="4AC24FBD"/>
    <w:rsid w:val="4E402043"/>
    <w:rsid w:val="4F774944"/>
    <w:rsid w:val="506B1078"/>
    <w:rsid w:val="55672DFC"/>
    <w:rsid w:val="585354CE"/>
    <w:rsid w:val="5EFC2F85"/>
    <w:rsid w:val="654A4225"/>
    <w:rsid w:val="66001ED9"/>
    <w:rsid w:val="67994C8F"/>
    <w:rsid w:val="679D2782"/>
    <w:rsid w:val="6A8420EE"/>
    <w:rsid w:val="6CFB4BB0"/>
    <w:rsid w:val="73AC4B69"/>
    <w:rsid w:val="782F4F2E"/>
    <w:rsid w:val="7BA77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qFormat/>
    <w:uiPriority w:val="99"/>
    <w:pPr>
      <w:widowControl w:val="0"/>
      <w:spacing w:after="120" w:line="360" w:lineRule="auto"/>
      <w:ind w:firstLine="420" w:firstLineChars="100"/>
      <w:jc w:val="both"/>
    </w:pPr>
    <w:rPr>
      <w:rFonts w:ascii="Arial" w:hAnsi="Arial" w:eastAsia="宋体" w:cs="Times New Roman"/>
      <w:kern w:val="0"/>
      <w:sz w:val="24"/>
      <w:szCs w:val="24"/>
      <w:shd w:val="pct10" w:color="auto" w:fill="FFFFFF"/>
      <w:lang w:val="en-US" w:eastAsia="zh-CN" w:bidi="ar-SA"/>
    </w:rPr>
  </w:style>
  <w:style w:type="paragraph" w:styleId="4">
    <w:name w:val="Body Text"/>
    <w:next w:val="5"/>
    <w:qFormat/>
    <w:uiPriority w:val="0"/>
    <w:pPr>
      <w:widowControl w:val="0"/>
      <w:spacing w:line="360" w:lineRule="auto"/>
      <w:jc w:val="both"/>
    </w:pPr>
    <w:rPr>
      <w:rFonts w:ascii="Times New Roman" w:hAnsi="Times New Roman" w:eastAsia="宋体" w:cs="Times New Roman"/>
      <w:kern w:val="2"/>
      <w:sz w:val="24"/>
      <w:szCs w:val="20"/>
      <w:shd w:val="pct10" w:color="auto" w:fill="FFFFFF"/>
      <w:lang w:val="en-US" w:eastAsia="zh-CN" w:bidi="ar-SA"/>
    </w:rPr>
  </w:style>
  <w:style w:type="paragraph" w:styleId="5">
    <w:name w:val="toc 2"/>
    <w:next w:val="1"/>
    <w:semiHidden/>
    <w:qFormat/>
    <w:uiPriority w:val="0"/>
    <w:pPr>
      <w:widowControl/>
      <w:spacing w:line="520" w:lineRule="exact"/>
      <w:ind w:left="200"/>
      <w:jc w:val="left"/>
    </w:pPr>
    <w:rPr>
      <w:rFonts w:ascii="Times New Roman" w:hAnsi="Times New Roman" w:eastAsia="宋体" w:cs="Times New Roman"/>
      <w:b/>
      <w:smallCaps/>
      <w:kern w:val="0"/>
      <w:sz w:val="24"/>
      <w:szCs w:val="24"/>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qFormat/>
    <w:uiPriority w:val="0"/>
    <w:pPr>
      <w:widowControl w:val="0"/>
      <w:jc w:val="both"/>
    </w:pPr>
    <w:rPr>
      <w:rFonts w:ascii="Calibri" w:hAnsi="Calibri" w:eastAsia="宋体" w:cs="Times New Roman"/>
      <w:kern w:val="2"/>
      <w:sz w:val="24"/>
      <w:szCs w:val="24"/>
      <w:lang w:val="en-US" w:eastAsia="zh-CN" w:bidi="ar-SA"/>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Q1"/>
    <w:basedOn w:val="3"/>
    <w:next w:val="1"/>
    <w:qFormat/>
    <w:uiPriority w:val="0"/>
    <w:pPr>
      <w:tabs>
        <w:tab w:val="left" w:pos="360"/>
      </w:tabs>
      <w:spacing w:beforeLines="50" w:afterLines="50" w:line="360" w:lineRule="auto"/>
      <w:jc w:val="center"/>
    </w:pPr>
    <w:rPr>
      <w:rFonts w:ascii="Times New Roman" w:hAnsi="Times New Roman" w:eastAsia="黑体" w:cs="Times New Roman"/>
      <w:sz w:val="32"/>
    </w:rPr>
  </w:style>
  <w:style w:type="character" w:customStyle="1" w:styleId="13">
    <w:name w:val="标题 1 Char"/>
    <w:basedOn w:val="11"/>
    <w:link w:val="3"/>
    <w:qFormat/>
    <w:uiPriority w:val="0"/>
    <w:rPr>
      <w:rFonts w:ascii="Calibri" w:hAnsi="Calibri" w:eastAsia="宋体" w:cs="Times New Roman"/>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3910</Words>
  <Characters>4126</Characters>
  <Lines>44</Lines>
  <Paragraphs>12</Paragraphs>
  <TotalTime>5</TotalTime>
  <ScaleCrop>false</ScaleCrop>
  <LinksUpToDate>false</LinksUpToDate>
  <CharactersWithSpaces>4281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2022-09-23T06:49:00Z</dcterms:created>
  <dc:creator>水果君</dc:creator>
  <cp:lastModifiedBy>水果君</cp:lastModifiedBy>
  <cp:lastPrinted>2023-04-03T06:55:00Z</cp:lastPrinted>
  <dcterms:modified xsi:type="dcterms:W3CDTF">2023-04-04T00:19:17Z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D8CFE1BA25C648F881CA6E0869B10A3D</vt:lpwstr>
  </property>
</Properties>
</file>