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spacing w:line="360" w:lineRule="auto"/>
        <w:jc w:val="center"/>
        <w:rPr>
          <w:rFonts w:ascii="黑体" w:hAnsi="仿宋" w:eastAsia="黑体"/>
          <w:sz w:val="72"/>
          <w:szCs w:val="72"/>
        </w:rPr>
      </w:pPr>
      <w:bookmarkStart w:id="0" w:name="_Toc390266454"/>
    </w:p>
    <w:p>
      <w:pPr>
        <w:spacing w:beforeLines="50" w:afterLines="50" w:line="360" w:lineRule="auto"/>
        <w:jc w:val="center"/>
        <w:rPr>
          <w:rFonts w:ascii="黑体" w:hAnsi="仿宋" w:eastAsia="黑体"/>
          <w:sz w:val="72"/>
          <w:szCs w:val="72"/>
        </w:rPr>
      </w:pPr>
      <w:r>
        <w:rPr>
          <w:rFonts w:hint="eastAsia" w:ascii="黑体" w:hAnsi="仿宋" w:eastAsia="黑体"/>
          <w:sz w:val="72"/>
          <w:szCs w:val="72"/>
        </w:rPr>
        <w:t>廊坊市</w:t>
      </w:r>
    </w:p>
    <w:p>
      <w:pPr>
        <w:spacing w:beforeLines="50" w:afterLines="50" w:line="360" w:lineRule="auto"/>
        <w:jc w:val="center"/>
        <w:rPr>
          <w:rFonts w:ascii="黑体" w:hAnsi="仿宋" w:eastAsia="黑体"/>
          <w:sz w:val="72"/>
          <w:szCs w:val="72"/>
        </w:rPr>
      </w:pPr>
      <w:r>
        <w:rPr>
          <w:rFonts w:hint="eastAsia" w:ascii="黑体" w:hAnsi="仿宋" w:eastAsia="黑体"/>
          <w:sz w:val="72"/>
          <w:szCs w:val="72"/>
        </w:rPr>
        <w:t>山水林田湖生态修复规划</w:t>
      </w:r>
    </w:p>
    <w:p>
      <w:pPr>
        <w:spacing w:line="360" w:lineRule="auto"/>
        <w:jc w:val="center"/>
        <w:rPr>
          <w:rFonts w:ascii="仿宋" w:hAnsi="仿宋" w:eastAsia="仿宋"/>
          <w:sz w:val="52"/>
          <w:szCs w:val="52"/>
        </w:rPr>
      </w:pPr>
      <w:r>
        <w:rPr>
          <w:rFonts w:hint="eastAsia" w:ascii="仿宋" w:hAnsi="仿宋" w:eastAsia="仿宋"/>
          <w:sz w:val="52"/>
          <w:szCs w:val="52"/>
        </w:rPr>
        <w:t>(送审稿)</w:t>
      </w:r>
    </w:p>
    <w:p>
      <w:pPr>
        <w:spacing w:line="360" w:lineRule="auto"/>
        <w:jc w:val="center"/>
        <w:rPr>
          <w:rFonts w:ascii="仿宋" w:hAnsi="仿宋" w:eastAsia="仿宋"/>
          <w:sz w:val="44"/>
          <w:szCs w:val="44"/>
        </w:rPr>
      </w:pPr>
    </w:p>
    <w:p>
      <w:pPr>
        <w:spacing w:line="360" w:lineRule="auto"/>
        <w:jc w:val="center"/>
        <w:rPr>
          <w:rFonts w:ascii="仿宋" w:hAnsi="仿宋" w:eastAsia="仿宋"/>
          <w:sz w:val="44"/>
          <w:szCs w:val="44"/>
        </w:rPr>
      </w:pPr>
      <w:r>
        <w:rPr>
          <w:rFonts w:asciiTheme="minorHAnsi" w:hAnsiTheme="minorHAnsi" w:eastAsiaTheme="minorEastAsia" w:cstheme="minorBidi"/>
          <w:sz w:val="32"/>
          <w:szCs w:val="32"/>
        </w:rPr>
        <w:drawing>
          <wp:anchor distT="0" distB="0" distL="114300" distR="114300" simplePos="0" relativeHeight="251662336" behindDoc="0" locked="0" layoutInCell="1" allowOverlap="1">
            <wp:simplePos x="0" y="0"/>
            <wp:positionH relativeFrom="column">
              <wp:posOffset>647700</wp:posOffset>
            </wp:positionH>
            <wp:positionV relativeFrom="paragraph">
              <wp:posOffset>196215</wp:posOffset>
            </wp:positionV>
            <wp:extent cx="4004945" cy="2542540"/>
            <wp:effectExtent l="19050" t="19050" r="0" b="0"/>
            <wp:wrapNone/>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6" cstate="print">
                      <a:extLst>
                        <a:ext uri="{28A0092B-C50C-407E-A947-70E740481C1C}">
                          <a14:useLocalDpi xmlns:a14="http://schemas.microsoft.com/office/drawing/2010/main" val="0"/>
                        </a:ext>
                      </a:extLst>
                    </a:blip>
                    <a:stretch>
                      <a:fillRect/>
                    </a:stretch>
                  </pic:blipFill>
                  <pic:spPr>
                    <a:xfrm>
                      <a:off x="0" y="0"/>
                      <a:ext cx="4004945" cy="2542540"/>
                    </a:xfrm>
                    <a:prstGeom prst="rect">
                      <a:avLst/>
                    </a:prstGeom>
                    <a:ln>
                      <a:solidFill>
                        <a:schemeClr val="tx1">
                          <a:lumMod val="50000"/>
                          <a:lumOff val="50000"/>
                        </a:schemeClr>
                      </a:solidFill>
                    </a:ln>
                  </pic:spPr>
                </pic:pic>
              </a:graphicData>
            </a:graphic>
          </wp:anchor>
        </w:drawing>
      </w:r>
    </w:p>
    <w:p>
      <w:pPr>
        <w:spacing w:line="360" w:lineRule="auto"/>
        <w:jc w:val="center"/>
        <w:rPr>
          <w:rFonts w:ascii="仿宋" w:hAnsi="仿宋" w:eastAsia="仿宋"/>
          <w:sz w:val="44"/>
          <w:szCs w:val="44"/>
        </w:rPr>
      </w:pPr>
    </w:p>
    <w:p>
      <w:pPr>
        <w:spacing w:line="360" w:lineRule="auto"/>
        <w:jc w:val="center"/>
        <w:rPr>
          <w:rFonts w:ascii="仿宋" w:hAnsi="仿宋" w:eastAsia="仿宋"/>
          <w:sz w:val="44"/>
          <w:szCs w:val="44"/>
        </w:rPr>
      </w:pPr>
    </w:p>
    <w:p>
      <w:pPr>
        <w:spacing w:line="360" w:lineRule="auto"/>
        <w:jc w:val="center"/>
        <w:rPr>
          <w:rFonts w:ascii="仿宋" w:hAnsi="仿宋" w:eastAsia="仿宋"/>
          <w:sz w:val="44"/>
          <w:szCs w:val="44"/>
        </w:rPr>
      </w:pPr>
    </w:p>
    <w:p>
      <w:pPr>
        <w:spacing w:line="360" w:lineRule="auto"/>
        <w:jc w:val="center"/>
        <w:rPr>
          <w:rFonts w:ascii="仿宋" w:hAnsi="仿宋" w:eastAsia="仿宋"/>
          <w:sz w:val="44"/>
          <w:szCs w:val="44"/>
        </w:rPr>
      </w:pPr>
    </w:p>
    <w:p>
      <w:pPr>
        <w:spacing w:line="360" w:lineRule="auto"/>
        <w:jc w:val="center"/>
        <w:rPr>
          <w:rFonts w:ascii="仿宋" w:hAnsi="仿宋" w:eastAsia="仿宋"/>
          <w:sz w:val="44"/>
          <w:szCs w:val="44"/>
        </w:rPr>
      </w:pPr>
    </w:p>
    <w:p>
      <w:pPr>
        <w:spacing w:line="360" w:lineRule="auto"/>
        <w:jc w:val="center"/>
        <w:rPr>
          <w:rFonts w:ascii="仿宋" w:hAnsi="仿宋" w:eastAsia="仿宋"/>
          <w:sz w:val="44"/>
          <w:szCs w:val="44"/>
        </w:rPr>
      </w:pPr>
    </w:p>
    <w:p>
      <w:pPr>
        <w:spacing w:line="360" w:lineRule="auto"/>
        <w:jc w:val="center"/>
        <w:rPr>
          <w:rFonts w:ascii="仿宋" w:hAnsi="仿宋" w:eastAsia="仿宋"/>
          <w:sz w:val="44"/>
          <w:szCs w:val="44"/>
        </w:rPr>
      </w:pPr>
    </w:p>
    <w:p>
      <w:pPr>
        <w:spacing w:line="360" w:lineRule="auto"/>
        <w:jc w:val="center"/>
        <w:rPr>
          <w:rFonts w:ascii="仿宋" w:hAnsi="仿宋" w:eastAsia="仿宋"/>
          <w:sz w:val="44"/>
          <w:szCs w:val="44"/>
        </w:rPr>
      </w:pPr>
    </w:p>
    <w:p>
      <w:pPr>
        <w:spacing w:line="360" w:lineRule="auto"/>
        <w:jc w:val="center"/>
        <w:rPr>
          <w:rFonts w:ascii="仿宋" w:hAnsi="仿宋" w:eastAsia="仿宋"/>
          <w:sz w:val="44"/>
          <w:szCs w:val="44"/>
        </w:rPr>
      </w:pPr>
    </w:p>
    <w:p>
      <w:pPr>
        <w:spacing w:line="360" w:lineRule="auto"/>
        <w:jc w:val="center"/>
        <w:rPr>
          <w:rFonts w:ascii="仿宋" w:hAnsi="仿宋" w:eastAsia="仿宋"/>
          <w:sz w:val="44"/>
          <w:szCs w:val="44"/>
        </w:rPr>
      </w:pPr>
    </w:p>
    <w:p>
      <w:pPr>
        <w:spacing w:line="360" w:lineRule="auto"/>
        <w:jc w:val="center"/>
        <w:rPr>
          <w:rFonts w:ascii="仿宋" w:hAnsi="仿宋" w:eastAsia="仿宋"/>
          <w:sz w:val="44"/>
          <w:szCs w:val="44"/>
        </w:rPr>
      </w:pPr>
    </w:p>
    <w:p>
      <w:pPr>
        <w:spacing w:beforeLines="50" w:afterLines="50" w:line="360" w:lineRule="auto"/>
        <w:jc w:val="center"/>
        <w:rPr>
          <w:rFonts w:ascii="仿宋" w:hAnsi="仿宋" w:eastAsia="仿宋"/>
          <w:sz w:val="44"/>
          <w:szCs w:val="44"/>
        </w:rPr>
      </w:pPr>
      <w:r>
        <w:rPr>
          <w:rFonts w:hint="eastAsia" w:ascii="仿宋" w:hAnsi="仿宋" w:eastAsia="仿宋"/>
          <w:sz w:val="44"/>
          <w:szCs w:val="44"/>
        </w:rPr>
        <w:t>廊坊市人民政府</w:t>
      </w:r>
    </w:p>
    <w:p>
      <w:pPr>
        <w:spacing w:beforeLines="50" w:afterLines="50" w:line="360" w:lineRule="auto"/>
        <w:jc w:val="center"/>
        <w:rPr>
          <w:rFonts w:ascii="仿宋" w:hAnsi="仿宋" w:eastAsia="仿宋"/>
          <w:sz w:val="44"/>
          <w:szCs w:val="44"/>
        </w:rPr>
        <w:sectPr>
          <w:footerReference r:id="rId3" w:type="default"/>
          <w:footerReference r:id="rId4" w:type="even"/>
          <w:pgSz w:w="11906" w:h="16838"/>
          <w:pgMar w:top="1440" w:right="1800" w:bottom="1440" w:left="1800" w:header="851" w:footer="992" w:gutter="0"/>
          <w:pgNumType w:start="0"/>
          <w:cols w:space="425" w:num="1"/>
          <w:titlePg/>
          <w:docGrid w:type="lines" w:linePitch="312" w:charSpace="0"/>
        </w:sectPr>
      </w:pPr>
      <w:r>
        <w:rPr>
          <w:rFonts w:hint="eastAsia" w:ascii="仿宋" w:hAnsi="仿宋" w:eastAsia="仿宋"/>
          <w:sz w:val="44"/>
          <w:szCs w:val="44"/>
        </w:rPr>
        <w:t>2017年01月</w:t>
      </w:r>
    </w:p>
    <w:p>
      <w:pPr>
        <w:jc w:val="center"/>
        <w:rPr>
          <w:rFonts w:ascii="黑体" w:hAnsi="仿宋" w:eastAsia="黑体"/>
          <w:sz w:val="36"/>
          <w:szCs w:val="36"/>
        </w:rPr>
      </w:pPr>
      <w:r>
        <w:rPr>
          <w:rFonts w:hint="eastAsia" w:ascii="黑体" w:hAnsi="仿宋" w:eastAsia="黑体"/>
          <w:sz w:val="36"/>
          <w:szCs w:val="36"/>
        </w:rPr>
        <w:t>目  录</w:t>
      </w:r>
    </w:p>
    <w:p>
      <w:pPr>
        <w:pStyle w:val="8"/>
        <w:tabs>
          <w:tab w:val="right" w:leader="dot" w:pos="8296"/>
        </w:tabs>
        <w:rPr>
          <w:rFonts w:asciiTheme="minorHAnsi" w:hAnsiTheme="minorHAnsi" w:eastAsiaTheme="minorEastAsia" w:cstheme="minorBidi"/>
          <w:sz w:val="32"/>
          <w:szCs w:val="32"/>
        </w:rPr>
      </w:pPr>
      <w:r>
        <w:rPr>
          <w:rFonts w:ascii="仿宋" w:hAnsi="仿宋" w:eastAsia="仿宋"/>
          <w:sz w:val="32"/>
          <w:szCs w:val="32"/>
        </w:rPr>
        <w:fldChar w:fldCharType="begin"/>
      </w:r>
      <w:r>
        <w:rPr>
          <w:rFonts w:hint="eastAsia" w:ascii="仿宋" w:hAnsi="仿宋" w:eastAsia="仿宋"/>
          <w:sz w:val="32"/>
          <w:szCs w:val="32"/>
        </w:rPr>
        <w:instrText xml:space="preserve">TOC \o "1-3" \h \z \u</w:instrText>
      </w:r>
      <w:r>
        <w:rPr>
          <w:rFonts w:ascii="仿宋" w:hAnsi="仿宋" w:eastAsia="仿宋"/>
          <w:sz w:val="32"/>
          <w:szCs w:val="32"/>
        </w:rPr>
        <w:fldChar w:fldCharType="separate"/>
      </w:r>
      <w:r>
        <w:fldChar w:fldCharType="begin"/>
      </w:r>
      <w:r>
        <w:instrText xml:space="preserve"> HYPERLINK \l "_Toc445718878" </w:instrText>
      </w:r>
      <w:r>
        <w:fldChar w:fldCharType="separate"/>
      </w:r>
      <w:r>
        <w:rPr>
          <w:rStyle w:val="14"/>
          <w:rFonts w:hint="eastAsia" w:ascii="宋体" w:hAnsi="宋体" w:cs="仿宋"/>
          <w:sz w:val="32"/>
          <w:szCs w:val="32"/>
        </w:rPr>
        <w:t>前言</w:t>
      </w:r>
      <w:r>
        <w:rPr>
          <w:sz w:val="32"/>
          <w:szCs w:val="32"/>
        </w:rPr>
        <w:tab/>
      </w:r>
      <w:r>
        <w:rPr>
          <w:sz w:val="32"/>
          <w:szCs w:val="32"/>
        </w:rPr>
        <w:fldChar w:fldCharType="begin"/>
      </w:r>
      <w:r>
        <w:rPr>
          <w:sz w:val="32"/>
          <w:szCs w:val="32"/>
        </w:rPr>
        <w:instrText xml:space="preserve"> PAGEREF _Toc445718878 \h </w:instrText>
      </w:r>
      <w:r>
        <w:rPr>
          <w:sz w:val="32"/>
          <w:szCs w:val="32"/>
        </w:rPr>
        <w:fldChar w:fldCharType="separate"/>
      </w:r>
      <w:r>
        <w:rPr>
          <w:sz w:val="32"/>
          <w:szCs w:val="32"/>
        </w:rPr>
        <w:t>1</w:t>
      </w:r>
      <w:r>
        <w:rPr>
          <w:sz w:val="32"/>
          <w:szCs w:val="32"/>
        </w:rPr>
        <w:fldChar w:fldCharType="end"/>
      </w:r>
      <w:r>
        <w:rPr>
          <w:sz w:val="32"/>
          <w:szCs w:val="32"/>
        </w:rPr>
        <w:fldChar w:fldCharType="end"/>
      </w:r>
    </w:p>
    <w:p>
      <w:pPr>
        <w:pStyle w:val="8"/>
        <w:tabs>
          <w:tab w:val="right" w:leader="dot" w:pos="8296"/>
        </w:tabs>
        <w:rPr>
          <w:rFonts w:asciiTheme="minorHAnsi" w:hAnsiTheme="minorHAnsi" w:eastAsiaTheme="minorEastAsia" w:cstheme="minorBidi"/>
          <w:sz w:val="32"/>
          <w:szCs w:val="32"/>
        </w:rPr>
      </w:pPr>
      <w:r>
        <w:fldChar w:fldCharType="begin"/>
      </w:r>
      <w:r>
        <w:instrText xml:space="preserve"> HYPERLINK \l "_Toc445718879" </w:instrText>
      </w:r>
      <w:r>
        <w:fldChar w:fldCharType="separate"/>
      </w:r>
      <w:r>
        <w:rPr>
          <w:rStyle w:val="14"/>
          <w:rFonts w:hint="eastAsia"/>
          <w:sz w:val="32"/>
          <w:szCs w:val="32"/>
        </w:rPr>
        <w:t>一、规划基础</w:t>
      </w:r>
      <w:r>
        <w:rPr>
          <w:sz w:val="32"/>
          <w:szCs w:val="32"/>
        </w:rPr>
        <w:tab/>
      </w:r>
      <w:r>
        <w:rPr>
          <w:sz w:val="32"/>
          <w:szCs w:val="32"/>
        </w:rPr>
        <w:fldChar w:fldCharType="begin"/>
      </w:r>
      <w:r>
        <w:rPr>
          <w:sz w:val="32"/>
          <w:szCs w:val="32"/>
        </w:rPr>
        <w:instrText xml:space="preserve"> PAGEREF _Toc445718879 \h </w:instrText>
      </w:r>
      <w:r>
        <w:rPr>
          <w:sz w:val="32"/>
          <w:szCs w:val="32"/>
        </w:rPr>
        <w:fldChar w:fldCharType="separate"/>
      </w:r>
      <w:r>
        <w:rPr>
          <w:sz w:val="32"/>
          <w:szCs w:val="32"/>
        </w:rPr>
        <w:t>2</w:t>
      </w:r>
      <w:r>
        <w:rPr>
          <w:sz w:val="32"/>
          <w:szCs w:val="32"/>
        </w:rPr>
        <w:fldChar w:fldCharType="end"/>
      </w:r>
      <w:r>
        <w:rPr>
          <w:sz w:val="32"/>
          <w:szCs w:val="32"/>
        </w:rPr>
        <w:fldChar w:fldCharType="end"/>
      </w:r>
    </w:p>
    <w:p>
      <w:pPr>
        <w:pStyle w:val="9"/>
        <w:tabs>
          <w:tab w:val="right" w:leader="dot" w:pos="8296"/>
        </w:tabs>
        <w:rPr>
          <w:rFonts w:asciiTheme="minorHAnsi" w:hAnsiTheme="minorHAnsi" w:eastAsiaTheme="minorEastAsia" w:cstheme="minorBidi"/>
          <w:sz w:val="32"/>
          <w:szCs w:val="32"/>
        </w:rPr>
      </w:pPr>
      <w:r>
        <w:fldChar w:fldCharType="begin"/>
      </w:r>
      <w:r>
        <w:instrText xml:space="preserve"> HYPERLINK \l "_Toc445718880" </w:instrText>
      </w:r>
      <w:r>
        <w:fldChar w:fldCharType="separate"/>
      </w:r>
      <w:r>
        <w:rPr>
          <w:rStyle w:val="14"/>
          <w:rFonts w:hint="eastAsia"/>
          <w:sz w:val="32"/>
          <w:szCs w:val="32"/>
        </w:rPr>
        <w:t>（一）基础条件</w:t>
      </w:r>
      <w:r>
        <w:rPr>
          <w:sz w:val="32"/>
          <w:szCs w:val="32"/>
        </w:rPr>
        <w:tab/>
      </w:r>
      <w:r>
        <w:rPr>
          <w:sz w:val="32"/>
          <w:szCs w:val="32"/>
        </w:rPr>
        <w:fldChar w:fldCharType="begin"/>
      </w:r>
      <w:r>
        <w:rPr>
          <w:sz w:val="32"/>
          <w:szCs w:val="32"/>
        </w:rPr>
        <w:instrText xml:space="preserve"> PAGEREF _Toc445718880 \h </w:instrText>
      </w:r>
      <w:r>
        <w:rPr>
          <w:sz w:val="32"/>
          <w:szCs w:val="32"/>
        </w:rPr>
        <w:fldChar w:fldCharType="separate"/>
      </w:r>
      <w:r>
        <w:rPr>
          <w:sz w:val="32"/>
          <w:szCs w:val="32"/>
        </w:rPr>
        <w:t>2</w:t>
      </w:r>
      <w:r>
        <w:rPr>
          <w:sz w:val="32"/>
          <w:szCs w:val="32"/>
        </w:rPr>
        <w:fldChar w:fldCharType="end"/>
      </w:r>
      <w:r>
        <w:rPr>
          <w:sz w:val="32"/>
          <w:szCs w:val="32"/>
        </w:rPr>
        <w:fldChar w:fldCharType="end"/>
      </w:r>
    </w:p>
    <w:p>
      <w:pPr>
        <w:pStyle w:val="9"/>
        <w:tabs>
          <w:tab w:val="right" w:leader="dot" w:pos="8296"/>
        </w:tabs>
        <w:rPr>
          <w:rFonts w:asciiTheme="minorHAnsi" w:hAnsiTheme="minorHAnsi" w:eastAsiaTheme="minorEastAsia" w:cstheme="minorBidi"/>
          <w:sz w:val="32"/>
          <w:szCs w:val="32"/>
        </w:rPr>
      </w:pPr>
      <w:r>
        <w:fldChar w:fldCharType="begin"/>
      </w:r>
      <w:r>
        <w:instrText xml:space="preserve"> HYPERLINK \l "_Toc445718881" </w:instrText>
      </w:r>
      <w:r>
        <w:fldChar w:fldCharType="separate"/>
      </w:r>
      <w:r>
        <w:rPr>
          <w:rStyle w:val="14"/>
          <w:rFonts w:hint="eastAsia"/>
          <w:sz w:val="32"/>
          <w:szCs w:val="32"/>
        </w:rPr>
        <w:t>（二）面临形势</w:t>
      </w:r>
      <w:r>
        <w:rPr>
          <w:sz w:val="32"/>
          <w:szCs w:val="32"/>
        </w:rPr>
        <w:tab/>
      </w:r>
      <w:r>
        <w:rPr>
          <w:sz w:val="32"/>
          <w:szCs w:val="32"/>
        </w:rPr>
        <w:fldChar w:fldCharType="begin"/>
      </w:r>
      <w:r>
        <w:rPr>
          <w:sz w:val="32"/>
          <w:szCs w:val="32"/>
        </w:rPr>
        <w:instrText xml:space="preserve"> PAGEREF _Toc445718881 \h </w:instrText>
      </w:r>
      <w:r>
        <w:rPr>
          <w:sz w:val="32"/>
          <w:szCs w:val="32"/>
        </w:rPr>
        <w:fldChar w:fldCharType="separate"/>
      </w:r>
      <w:r>
        <w:rPr>
          <w:sz w:val="32"/>
          <w:szCs w:val="32"/>
        </w:rPr>
        <w:t>3</w:t>
      </w:r>
      <w:r>
        <w:rPr>
          <w:sz w:val="32"/>
          <w:szCs w:val="32"/>
        </w:rPr>
        <w:fldChar w:fldCharType="end"/>
      </w:r>
      <w:r>
        <w:rPr>
          <w:sz w:val="32"/>
          <w:szCs w:val="32"/>
        </w:rPr>
        <w:fldChar w:fldCharType="end"/>
      </w:r>
    </w:p>
    <w:p>
      <w:pPr>
        <w:pStyle w:val="9"/>
        <w:tabs>
          <w:tab w:val="right" w:leader="dot" w:pos="8296"/>
        </w:tabs>
        <w:rPr>
          <w:rFonts w:asciiTheme="minorHAnsi" w:hAnsiTheme="minorHAnsi" w:eastAsiaTheme="minorEastAsia" w:cstheme="minorBidi"/>
          <w:sz w:val="32"/>
          <w:szCs w:val="32"/>
        </w:rPr>
      </w:pPr>
      <w:r>
        <w:fldChar w:fldCharType="begin"/>
      </w:r>
      <w:r>
        <w:instrText xml:space="preserve"> HYPERLINK \l "_Toc445718882" </w:instrText>
      </w:r>
      <w:r>
        <w:fldChar w:fldCharType="separate"/>
      </w:r>
      <w:r>
        <w:rPr>
          <w:rStyle w:val="14"/>
          <w:rFonts w:hint="eastAsia"/>
          <w:sz w:val="32"/>
          <w:szCs w:val="32"/>
        </w:rPr>
        <w:t>（三）主要问题</w:t>
      </w:r>
      <w:r>
        <w:rPr>
          <w:sz w:val="32"/>
          <w:szCs w:val="32"/>
        </w:rPr>
        <w:tab/>
      </w:r>
      <w:r>
        <w:rPr>
          <w:sz w:val="32"/>
          <w:szCs w:val="32"/>
        </w:rPr>
        <w:fldChar w:fldCharType="begin"/>
      </w:r>
      <w:r>
        <w:rPr>
          <w:sz w:val="32"/>
          <w:szCs w:val="32"/>
        </w:rPr>
        <w:instrText xml:space="preserve"> PAGEREF _Toc445718882 \h </w:instrText>
      </w:r>
      <w:r>
        <w:rPr>
          <w:sz w:val="32"/>
          <w:szCs w:val="32"/>
        </w:rPr>
        <w:fldChar w:fldCharType="separate"/>
      </w:r>
      <w:r>
        <w:rPr>
          <w:sz w:val="32"/>
          <w:szCs w:val="32"/>
        </w:rPr>
        <w:t>4</w:t>
      </w:r>
      <w:r>
        <w:rPr>
          <w:sz w:val="32"/>
          <w:szCs w:val="32"/>
        </w:rPr>
        <w:fldChar w:fldCharType="end"/>
      </w:r>
      <w:r>
        <w:rPr>
          <w:sz w:val="32"/>
          <w:szCs w:val="32"/>
        </w:rPr>
        <w:fldChar w:fldCharType="end"/>
      </w:r>
    </w:p>
    <w:p>
      <w:pPr>
        <w:pStyle w:val="8"/>
        <w:tabs>
          <w:tab w:val="right" w:leader="dot" w:pos="8296"/>
        </w:tabs>
        <w:rPr>
          <w:rFonts w:asciiTheme="minorHAnsi" w:hAnsiTheme="minorHAnsi" w:eastAsiaTheme="minorEastAsia" w:cstheme="minorBidi"/>
          <w:sz w:val="32"/>
          <w:szCs w:val="32"/>
        </w:rPr>
      </w:pPr>
      <w:r>
        <w:fldChar w:fldCharType="begin"/>
      </w:r>
      <w:r>
        <w:instrText xml:space="preserve"> HYPERLINK \l "_Toc445718883" </w:instrText>
      </w:r>
      <w:r>
        <w:fldChar w:fldCharType="separate"/>
      </w:r>
      <w:r>
        <w:rPr>
          <w:rStyle w:val="14"/>
          <w:rFonts w:hint="eastAsia"/>
          <w:sz w:val="32"/>
          <w:szCs w:val="32"/>
        </w:rPr>
        <w:t>二、总体要求</w:t>
      </w:r>
      <w:r>
        <w:rPr>
          <w:sz w:val="32"/>
          <w:szCs w:val="32"/>
        </w:rPr>
        <w:tab/>
      </w:r>
      <w:r>
        <w:rPr>
          <w:sz w:val="32"/>
          <w:szCs w:val="32"/>
        </w:rPr>
        <w:fldChar w:fldCharType="begin"/>
      </w:r>
      <w:r>
        <w:rPr>
          <w:sz w:val="32"/>
          <w:szCs w:val="32"/>
        </w:rPr>
        <w:instrText xml:space="preserve"> PAGEREF _Toc445718883 \h </w:instrText>
      </w:r>
      <w:r>
        <w:rPr>
          <w:sz w:val="32"/>
          <w:szCs w:val="32"/>
        </w:rPr>
        <w:fldChar w:fldCharType="separate"/>
      </w:r>
      <w:r>
        <w:rPr>
          <w:sz w:val="32"/>
          <w:szCs w:val="32"/>
        </w:rPr>
        <w:t>6</w:t>
      </w:r>
      <w:r>
        <w:rPr>
          <w:sz w:val="32"/>
          <w:szCs w:val="32"/>
        </w:rPr>
        <w:fldChar w:fldCharType="end"/>
      </w:r>
      <w:r>
        <w:rPr>
          <w:sz w:val="32"/>
          <w:szCs w:val="32"/>
        </w:rPr>
        <w:fldChar w:fldCharType="end"/>
      </w:r>
    </w:p>
    <w:p>
      <w:pPr>
        <w:pStyle w:val="9"/>
        <w:tabs>
          <w:tab w:val="right" w:leader="dot" w:pos="8296"/>
        </w:tabs>
        <w:rPr>
          <w:rFonts w:asciiTheme="minorHAnsi" w:hAnsiTheme="minorHAnsi" w:eastAsiaTheme="minorEastAsia" w:cstheme="minorBidi"/>
          <w:sz w:val="32"/>
          <w:szCs w:val="32"/>
        </w:rPr>
      </w:pPr>
      <w:r>
        <w:fldChar w:fldCharType="begin"/>
      </w:r>
      <w:r>
        <w:instrText xml:space="preserve"> HYPERLINK \l "_Toc445718884" </w:instrText>
      </w:r>
      <w:r>
        <w:fldChar w:fldCharType="separate"/>
      </w:r>
      <w:r>
        <w:rPr>
          <w:rStyle w:val="14"/>
          <w:rFonts w:hint="eastAsia"/>
          <w:sz w:val="32"/>
          <w:szCs w:val="32"/>
        </w:rPr>
        <w:t>（一）总体思路</w:t>
      </w:r>
      <w:r>
        <w:rPr>
          <w:sz w:val="32"/>
          <w:szCs w:val="32"/>
        </w:rPr>
        <w:tab/>
      </w:r>
      <w:r>
        <w:rPr>
          <w:sz w:val="32"/>
          <w:szCs w:val="32"/>
        </w:rPr>
        <w:fldChar w:fldCharType="begin"/>
      </w:r>
      <w:r>
        <w:rPr>
          <w:sz w:val="32"/>
          <w:szCs w:val="32"/>
        </w:rPr>
        <w:instrText xml:space="preserve"> PAGEREF _Toc445718884 \h </w:instrText>
      </w:r>
      <w:r>
        <w:rPr>
          <w:sz w:val="32"/>
          <w:szCs w:val="32"/>
        </w:rPr>
        <w:fldChar w:fldCharType="separate"/>
      </w:r>
      <w:r>
        <w:rPr>
          <w:sz w:val="32"/>
          <w:szCs w:val="32"/>
        </w:rPr>
        <w:t>6</w:t>
      </w:r>
      <w:r>
        <w:rPr>
          <w:sz w:val="32"/>
          <w:szCs w:val="32"/>
        </w:rPr>
        <w:fldChar w:fldCharType="end"/>
      </w:r>
      <w:r>
        <w:rPr>
          <w:sz w:val="32"/>
          <w:szCs w:val="32"/>
        </w:rPr>
        <w:fldChar w:fldCharType="end"/>
      </w:r>
    </w:p>
    <w:p>
      <w:pPr>
        <w:pStyle w:val="9"/>
        <w:tabs>
          <w:tab w:val="right" w:leader="dot" w:pos="8296"/>
        </w:tabs>
        <w:rPr>
          <w:rFonts w:asciiTheme="minorHAnsi" w:hAnsiTheme="minorHAnsi" w:eastAsiaTheme="minorEastAsia" w:cstheme="minorBidi"/>
          <w:sz w:val="32"/>
          <w:szCs w:val="32"/>
        </w:rPr>
      </w:pPr>
      <w:r>
        <w:fldChar w:fldCharType="begin"/>
      </w:r>
      <w:r>
        <w:instrText xml:space="preserve"> HYPERLINK \l "_Toc445718885" </w:instrText>
      </w:r>
      <w:r>
        <w:fldChar w:fldCharType="separate"/>
      </w:r>
      <w:r>
        <w:rPr>
          <w:rStyle w:val="14"/>
          <w:rFonts w:hint="eastAsia"/>
          <w:sz w:val="32"/>
          <w:szCs w:val="32"/>
        </w:rPr>
        <w:t>（二）基本原则</w:t>
      </w:r>
      <w:r>
        <w:rPr>
          <w:sz w:val="32"/>
          <w:szCs w:val="32"/>
        </w:rPr>
        <w:tab/>
      </w:r>
      <w:r>
        <w:rPr>
          <w:sz w:val="32"/>
          <w:szCs w:val="32"/>
        </w:rPr>
        <w:fldChar w:fldCharType="begin"/>
      </w:r>
      <w:r>
        <w:rPr>
          <w:sz w:val="32"/>
          <w:szCs w:val="32"/>
        </w:rPr>
        <w:instrText xml:space="preserve"> PAGEREF _Toc445718885 \h </w:instrText>
      </w:r>
      <w:r>
        <w:rPr>
          <w:sz w:val="32"/>
          <w:szCs w:val="32"/>
        </w:rPr>
        <w:fldChar w:fldCharType="separate"/>
      </w:r>
      <w:r>
        <w:rPr>
          <w:sz w:val="32"/>
          <w:szCs w:val="32"/>
        </w:rPr>
        <w:t>6</w:t>
      </w:r>
      <w:r>
        <w:rPr>
          <w:sz w:val="32"/>
          <w:szCs w:val="32"/>
        </w:rPr>
        <w:fldChar w:fldCharType="end"/>
      </w:r>
      <w:r>
        <w:rPr>
          <w:sz w:val="32"/>
          <w:szCs w:val="32"/>
        </w:rPr>
        <w:fldChar w:fldCharType="end"/>
      </w:r>
    </w:p>
    <w:p>
      <w:pPr>
        <w:pStyle w:val="9"/>
        <w:tabs>
          <w:tab w:val="right" w:leader="dot" w:pos="8296"/>
        </w:tabs>
        <w:rPr>
          <w:rFonts w:asciiTheme="minorHAnsi" w:hAnsiTheme="minorHAnsi" w:eastAsiaTheme="minorEastAsia" w:cstheme="minorBidi"/>
          <w:sz w:val="32"/>
          <w:szCs w:val="32"/>
        </w:rPr>
      </w:pPr>
      <w:r>
        <w:fldChar w:fldCharType="begin"/>
      </w:r>
      <w:r>
        <w:instrText xml:space="preserve"> HYPERLINK \l "_Toc445718886" </w:instrText>
      </w:r>
      <w:r>
        <w:fldChar w:fldCharType="separate"/>
      </w:r>
      <w:r>
        <w:rPr>
          <w:rStyle w:val="14"/>
          <w:rFonts w:hint="eastAsia"/>
          <w:sz w:val="32"/>
          <w:szCs w:val="32"/>
        </w:rPr>
        <w:t>（三）规划目标</w:t>
      </w:r>
      <w:r>
        <w:rPr>
          <w:sz w:val="32"/>
          <w:szCs w:val="32"/>
        </w:rPr>
        <w:tab/>
      </w:r>
      <w:r>
        <w:rPr>
          <w:sz w:val="32"/>
          <w:szCs w:val="32"/>
        </w:rPr>
        <w:fldChar w:fldCharType="begin"/>
      </w:r>
      <w:r>
        <w:rPr>
          <w:sz w:val="32"/>
          <w:szCs w:val="32"/>
        </w:rPr>
        <w:instrText xml:space="preserve"> PAGEREF _Toc445718886 \h </w:instrText>
      </w:r>
      <w:r>
        <w:rPr>
          <w:sz w:val="32"/>
          <w:szCs w:val="32"/>
        </w:rPr>
        <w:fldChar w:fldCharType="separate"/>
      </w:r>
      <w:r>
        <w:rPr>
          <w:sz w:val="32"/>
          <w:szCs w:val="32"/>
        </w:rPr>
        <w:t>8</w:t>
      </w:r>
      <w:r>
        <w:rPr>
          <w:sz w:val="32"/>
          <w:szCs w:val="32"/>
        </w:rPr>
        <w:fldChar w:fldCharType="end"/>
      </w:r>
      <w:r>
        <w:rPr>
          <w:sz w:val="32"/>
          <w:szCs w:val="32"/>
        </w:rPr>
        <w:fldChar w:fldCharType="end"/>
      </w:r>
    </w:p>
    <w:p>
      <w:pPr>
        <w:pStyle w:val="8"/>
        <w:tabs>
          <w:tab w:val="right" w:leader="dot" w:pos="8296"/>
        </w:tabs>
        <w:rPr>
          <w:rFonts w:asciiTheme="minorHAnsi" w:hAnsiTheme="minorHAnsi" w:eastAsiaTheme="minorEastAsia" w:cstheme="minorBidi"/>
          <w:sz w:val="32"/>
          <w:szCs w:val="32"/>
        </w:rPr>
      </w:pPr>
      <w:r>
        <w:fldChar w:fldCharType="begin"/>
      </w:r>
      <w:r>
        <w:instrText xml:space="preserve"> HYPERLINK \l "_Toc445718887" </w:instrText>
      </w:r>
      <w:r>
        <w:fldChar w:fldCharType="separate"/>
      </w:r>
      <w:r>
        <w:rPr>
          <w:rStyle w:val="14"/>
          <w:rFonts w:hint="eastAsia"/>
          <w:sz w:val="32"/>
          <w:szCs w:val="32"/>
        </w:rPr>
        <w:t>三、总体布局</w:t>
      </w:r>
      <w:r>
        <w:rPr>
          <w:sz w:val="32"/>
          <w:szCs w:val="32"/>
        </w:rPr>
        <w:tab/>
      </w:r>
      <w:r>
        <w:rPr>
          <w:sz w:val="32"/>
          <w:szCs w:val="32"/>
        </w:rPr>
        <w:fldChar w:fldCharType="begin"/>
      </w:r>
      <w:r>
        <w:rPr>
          <w:sz w:val="32"/>
          <w:szCs w:val="32"/>
        </w:rPr>
        <w:instrText xml:space="preserve"> PAGEREF _Toc445718887 \h </w:instrText>
      </w:r>
      <w:r>
        <w:rPr>
          <w:sz w:val="32"/>
          <w:szCs w:val="32"/>
        </w:rPr>
        <w:fldChar w:fldCharType="separate"/>
      </w:r>
      <w:r>
        <w:rPr>
          <w:sz w:val="32"/>
          <w:szCs w:val="32"/>
        </w:rPr>
        <w:t>9</w:t>
      </w:r>
      <w:r>
        <w:rPr>
          <w:sz w:val="32"/>
          <w:szCs w:val="32"/>
        </w:rPr>
        <w:fldChar w:fldCharType="end"/>
      </w:r>
      <w:r>
        <w:rPr>
          <w:sz w:val="32"/>
          <w:szCs w:val="32"/>
        </w:rPr>
        <w:fldChar w:fldCharType="end"/>
      </w:r>
    </w:p>
    <w:p>
      <w:pPr>
        <w:pStyle w:val="9"/>
        <w:tabs>
          <w:tab w:val="right" w:leader="dot" w:pos="8296"/>
        </w:tabs>
        <w:rPr>
          <w:rFonts w:asciiTheme="minorHAnsi" w:hAnsiTheme="minorHAnsi" w:eastAsiaTheme="minorEastAsia" w:cstheme="minorBidi"/>
          <w:sz w:val="32"/>
          <w:szCs w:val="32"/>
        </w:rPr>
      </w:pPr>
      <w:r>
        <w:fldChar w:fldCharType="begin"/>
      </w:r>
      <w:r>
        <w:instrText xml:space="preserve"> HYPERLINK \l "_Toc445718888" </w:instrText>
      </w:r>
      <w:r>
        <w:fldChar w:fldCharType="separate"/>
      </w:r>
      <w:r>
        <w:rPr>
          <w:rStyle w:val="14"/>
          <w:rFonts w:hint="eastAsia"/>
          <w:sz w:val="32"/>
          <w:szCs w:val="32"/>
        </w:rPr>
        <w:t>（一）东北部低山丘陵生态修复区</w:t>
      </w:r>
      <w:r>
        <w:rPr>
          <w:sz w:val="32"/>
          <w:szCs w:val="32"/>
        </w:rPr>
        <w:tab/>
      </w:r>
      <w:r>
        <w:rPr>
          <w:sz w:val="32"/>
          <w:szCs w:val="32"/>
        </w:rPr>
        <w:fldChar w:fldCharType="begin"/>
      </w:r>
      <w:r>
        <w:rPr>
          <w:sz w:val="32"/>
          <w:szCs w:val="32"/>
        </w:rPr>
        <w:instrText xml:space="preserve"> PAGEREF _Toc445718888 \h </w:instrText>
      </w:r>
      <w:r>
        <w:rPr>
          <w:sz w:val="32"/>
          <w:szCs w:val="32"/>
        </w:rPr>
        <w:fldChar w:fldCharType="separate"/>
      </w:r>
      <w:r>
        <w:rPr>
          <w:sz w:val="32"/>
          <w:szCs w:val="32"/>
        </w:rPr>
        <w:t>9</w:t>
      </w:r>
      <w:r>
        <w:rPr>
          <w:sz w:val="32"/>
          <w:szCs w:val="32"/>
        </w:rPr>
        <w:fldChar w:fldCharType="end"/>
      </w:r>
      <w:r>
        <w:rPr>
          <w:sz w:val="32"/>
          <w:szCs w:val="32"/>
        </w:rPr>
        <w:fldChar w:fldCharType="end"/>
      </w:r>
    </w:p>
    <w:p>
      <w:pPr>
        <w:pStyle w:val="9"/>
        <w:tabs>
          <w:tab w:val="right" w:leader="dot" w:pos="8296"/>
        </w:tabs>
        <w:rPr>
          <w:rFonts w:asciiTheme="minorHAnsi" w:hAnsiTheme="minorHAnsi" w:eastAsiaTheme="minorEastAsia" w:cstheme="minorBidi"/>
          <w:sz w:val="32"/>
          <w:szCs w:val="32"/>
        </w:rPr>
      </w:pPr>
      <w:r>
        <w:fldChar w:fldCharType="begin"/>
      </w:r>
      <w:r>
        <w:instrText xml:space="preserve"> HYPERLINK \l "_Toc445718889" </w:instrText>
      </w:r>
      <w:r>
        <w:fldChar w:fldCharType="separate"/>
      </w:r>
      <w:r>
        <w:rPr>
          <w:rStyle w:val="14"/>
          <w:rFonts w:hint="eastAsia"/>
          <w:sz w:val="32"/>
          <w:szCs w:val="32"/>
        </w:rPr>
        <w:t>（二）北部冲积平原生态修复区</w:t>
      </w:r>
      <w:r>
        <w:rPr>
          <w:sz w:val="32"/>
          <w:szCs w:val="32"/>
        </w:rPr>
        <w:tab/>
      </w:r>
      <w:r>
        <w:rPr>
          <w:sz w:val="32"/>
          <w:szCs w:val="32"/>
        </w:rPr>
        <w:fldChar w:fldCharType="begin"/>
      </w:r>
      <w:r>
        <w:rPr>
          <w:sz w:val="32"/>
          <w:szCs w:val="32"/>
        </w:rPr>
        <w:instrText xml:space="preserve"> PAGEREF _Toc445718889 \h </w:instrText>
      </w:r>
      <w:r>
        <w:rPr>
          <w:sz w:val="32"/>
          <w:szCs w:val="32"/>
        </w:rPr>
        <w:fldChar w:fldCharType="separate"/>
      </w:r>
      <w:r>
        <w:rPr>
          <w:sz w:val="32"/>
          <w:szCs w:val="32"/>
        </w:rPr>
        <w:t>10</w:t>
      </w:r>
      <w:r>
        <w:rPr>
          <w:sz w:val="32"/>
          <w:szCs w:val="32"/>
        </w:rPr>
        <w:fldChar w:fldCharType="end"/>
      </w:r>
      <w:r>
        <w:rPr>
          <w:sz w:val="32"/>
          <w:szCs w:val="32"/>
        </w:rPr>
        <w:fldChar w:fldCharType="end"/>
      </w:r>
    </w:p>
    <w:p>
      <w:pPr>
        <w:pStyle w:val="9"/>
        <w:tabs>
          <w:tab w:val="right" w:leader="dot" w:pos="8296"/>
        </w:tabs>
        <w:rPr>
          <w:rFonts w:asciiTheme="minorHAnsi" w:hAnsiTheme="minorHAnsi" w:eastAsiaTheme="minorEastAsia" w:cstheme="minorBidi"/>
          <w:sz w:val="32"/>
          <w:szCs w:val="32"/>
        </w:rPr>
      </w:pPr>
      <w:r>
        <w:fldChar w:fldCharType="begin"/>
      </w:r>
      <w:r>
        <w:instrText xml:space="preserve"> HYPERLINK \l "_Toc445718890" </w:instrText>
      </w:r>
      <w:r>
        <w:fldChar w:fldCharType="separate"/>
      </w:r>
      <w:r>
        <w:rPr>
          <w:rStyle w:val="14"/>
          <w:rFonts w:hint="eastAsia"/>
          <w:sz w:val="32"/>
          <w:szCs w:val="32"/>
        </w:rPr>
        <w:t>（三）中部冲积平原生态修复区</w:t>
      </w:r>
      <w:r>
        <w:rPr>
          <w:sz w:val="32"/>
          <w:szCs w:val="32"/>
        </w:rPr>
        <w:tab/>
      </w:r>
      <w:r>
        <w:rPr>
          <w:sz w:val="32"/>
          <w:szCs w:val="32"/>
        </w:rPr>
        <w:fldChar w:fldCharType="begin"/>
      </w:r>
      <w:r>
        <w:rPr>
          <w:sz w:val="32"/>
          <w:szCs w:val="32"/>
        </w:rPr>
        <w:instrText xml:space="preserve"> PAGEREF _Toc445718890 \h </w:instrText>
      </w:r>
      <w:r>
        <w:rPr>
          <w:sz w:val="32"/>
          <w:szCs w:val="32"/>
        </w:rPr>
        <w:fldChar w:fldCharType="separate"/>
      </w:r>
      <w:r>
        <w:rPr>
          <w:sz w:val="32"/>
          <w:szCs w:val="32"/>
        </w:rPr>
        <w:t>10</w:t>
      </w:r>
      <w:r>
        <w:rPr>
          <w:sz w:val="32"/>
          <w:szCs w:val="32"/>
        </w:rPr>
        <w:fldChar w:fldCharType="end"/>
      </w:r>
      <w:r>
        <w:rPr>
          <w:sz w:val="32"/>
          <w:szCs w:val="32"/>
        </w:rPr>
        <w:fldChar w:fldCharType="end"/>
      </w:r>
    </w:p>
    <w:p>
      <w:pPr>
        <w:pStyle w:val="9"/>
        <w:tabs>
          <w:tab w:val="right" w:leader="dot" w:pos="8296"/>
        </w:tabs>
        <w:rPr>
          <w:rFonts w:asciiTheme="minorHAnsi" w:hAnsiTheme="minorHAnsi" w:eastAsiaTheme="minorEastAsia" w:cstheme="minorBidi"/>
          <w:sz w:val="32"/>
          <w:szCs w:val="32"/>
        </w:rPr>
      </w:pPr>
      <w:r>
        <w:fldChar w:fldCharType="begin"/>
      </w:r>
      <w:r>
        <w:instrText xml:space="preserve"> HYPERLINK \l "_Toc445718891" </w:instrText>
      </w:r>
      <w:r>
        <w:fldChar w:fldCharType="separate"/>
      </w:r>
      <w:r>
        <w:rPr>
          <w:rStyle w:val="14"/>
          <w:rFonts w:hint="eastAsia"/>
          <w:sz w:val="32"/>
          <w:szCs w:val="32"/>
        </w:rPr>
        <w:t>（四）南部低平原生态修复区</w:t>
      </w:r>
      <w:r>
        <w:rPr>
          <w:sz w:val="32"/>
          <w:szCs w:val="32"/>
        </w:rPr>
        <w:tab/>
      </w:r>
      <w:r>
        <w:rPr>
          <w:sz w:val="32"/>
          <w:szCs w:val="32"/>
        </w:rPr>
        <w:fldChar w:fldCharType="begin"/>
      </w:r>
      <w:r>
        <w:rPr>
          <w:sz w:val="32"/>
          <w:szCs w:val="32"/>
        </w:rPr>
        <w:instrText xml:space="preserve"> PAGEREF _Toc445718891 \h </w:instrText>
      </w:r>
      <w:r>
        <w:rPr>
          <w:sz w:val="32"/>
          <w:szCs w:val="32"/>
        </w:rPr>
        <w:fldChar w:fldCharType="separate"/>
      </w:r>
      <w:r>
        <w:rPr>
          <w:sz w:val="32"/>
          <w:szCs w:val="32"/>
        </w:rPr>
        <w:t>11</w:t>
      </w:r>
      <w:r>
        <w:rPr>
          <w:sz w:val="32"/>
          <w:szCs w:val="32"/>
        </w:rPr>
        <w:fldChar w:fldCharType="end"/>
      </w:r>
      <w:r>
        <w:rPr>
          <w:sz w:val="32"/>
          <w:szCs w:val="32"/>
        </w:rPr>
        <w:fldChar w:fldCharType="end"/>
      </w:r>
    </w:p>
    <w:p>
      <w:pPr>
        <w:pStyle w:val="8"/>
        <w:tabs>
          <w:tab w:val="right" w:leader="dot" w:pos="8296"/>
        </w:tabs>
        <w:rPr>
          <w:rFonts w:asciiTheme="minorHAnsi" w:hAnsiTheme="minorHAnsi" w:eastAsiaTheme="minorEastAsia" w:cstheme="minorBidi"/>
          <w:sz w:val="32"/>
          <w:szCs w:val="32"/>
        </w:rPr>
      </w:pPr>
      <w:r>
        <w:fldChar w:fldCharType="begin"/>
      </w:r>
      <w:r>
        <w:instrText xml:space="preserve"> HYPERLINK \l "_Toc445718892" </w:instrText>
      </w:r>
      <w:r>
        <w:fldChar w:fldCharType="separate"/>
      </w:r>
      <w:r>
        <w:rPr>
          <w:rStyle w:val="14"/>
          <w:rFonts w:hint="eastAsia"/>
          <w:sz w:val="32"/>
          <w:szCs w:val="32"/>
        </w:rPr>
        <w:t>四、资源环境生态红线</w:t>
      </w:r>
      <w:r>
        <w:rPr>
          <w:sz w:val="32"/>
          <w:szCs w:val="32"/>
        </w:rPr>
        <w:tab/>
      </w:r>
      <w:r>
        <w:rPr>
          <w:sz w:val="32"/>
          <w:szCs w:val="32"/>
        </w:rPr>
        <w:fldChar w:fldCharType="begin"/>
      </w:r>
      <w:r>
        <w:rPr>
          <w:sz w:val="32"/>
          <w:szCs w:val="32"/>
        </w:rPr>
        <w:instrText xml:space="preserve"> PAGEREF _Toc445718892 \h </w:instrText>
      </w:r>
      <w:r>
        <w:rPr>
          <w:sz w:val="32"/>
          <w:szCs w:val="32"/>
        </w:rPr>
        <w:fldChar w:fldCharType="separate"/>
      </w:r>
      <w:r>
        <w:rPr>
          <w:sz w:val="32"/>
          <w:szCs w:val="32"/>
        </w:rPr>
        <w:t>11</w:t>
      </w:r>
      <w:r>
        <w:rPr>
          <w:sz w:val="32"/>
          <w:szCs w:val="32"/>
        </w:rPr>
        <w:fldChar w:fldCharType="end"/>
      </w:r>
      <w:r>
        <w:rPr>
          <w:sz w:val="32"/>
          <w:szCs w:val="32"/>
        </w:rPr>
        <w:fldChar w:fldCharType="end"/>
      </w:r>
    </w:p>
    <w:p>
      <w:pPr>
        <w:pStyle w:val="9"/>
        <w:tabs>
          <w:tab w:val="right" w:leader="dot" w:pos="8296"/>
        </w:tabs>
        <w:rPr>
          <w:rFonts w:asciiTheme="minorHAnsi" w:hAnsiTheme="minorHAnsi" w:eastAsiaTheme="minorEastAsia" w:cstheme="minorBidi"/>
          <w:sz w:val="32"/>
          <w:szCs w:val="32"/>
        </w:rPr>
      </w:pPr>
      <w:r>
        <w:fldChar w:fldCharType="begin"/>
      </w:r>
      <w:r>
        <w:instrText xml:space="preserve"> HYPERLINK \l "_Toc445718893" </w:instrText>
      </w:r>
      <w:r>
        <w:fldChar w:fldCharType="separate"/>
      </w:r>
      <w:r>
        <w:rPr>
          <w:rStyle w:val="14"/>
          <w:rFonts w:hint="eastAsia"/>
          <w:sz w:val="32"/>
          <w:szCs w:val="32"/>
        </w:rPr>
        <w:t>（一）生态保护红线</w:t>
      </w:r>
      <w:r>
        <w:rPr>
          <w:sz w:val="32"/>
          <w:szCs w:val="32"/>
        </w:rPr>
        <w:tab/>
      </w:r>
      <w:r>
        <w:rPr>
          <w:sz w:val="32"/>
          <w:szCs w:val="32"/>
        </w:rPr>
        <w:fldChar w:fldCharType="begin"/>
      </w:r>
      <w:r>
        <w:rPr>
          <w:sz w:val="32"/>
          <w:szCs w:val="32"/>
        </w:rPr>
        <w:instrText xml:space="preserve"> PAGEREF _Toc445718893 \h </w:instrText>
      </w:r>
      <w:r>
        <w:rPr>
          <w:sz w:val="32"/>
          <w:szCs w:val="32"/>
        </w:rPr>
        <w:fldChar w:fldCharType="separate"/>
      </w:r>
      <w:r>
        <w:rPr>
          <w:sz w:val="32"/>
          <w:szCs w:val="32"/>
        </w:rPr>
        <w:t>11</w:t>
      </w:r>
      <w:r>
        <w:rPr>
          <w:sz w:val="32"/>
          <w:szCs w:val="32"/>
        </w:rPr>
        <w:fldChar w:fldCharType="end"/>
      </w:r>
      <w:r>
        <w:rPr>
          <w:sz w:val="32"/>
          <w:szCs w:val="32"/>
        </w:rPr>
        <w:fldChar w:fldCharType="end"/>
      </w:r>
    </w:p>
    <w:p>
      <w:pPr>
        <w:pStyle w:val="9"/>
        <w:tabs>
          <w:tab w:val="right" w:leader="dot" w:pos="8296"/>
        </w:tabs>
        <w:rPr>
          <w:rFonts w:asciiTheme="minorHAnsi" w:hAnsiTheme="minorHAnsi" w:eastAsiaTheme="minorEastAsia" w:cstheme="minorBidi"/>
          <w:sz w:val="32"/>
          <w:szCs w:val="32"/>
        </w:rPr>
      </w:pPr>
      <w:r>
        <w:fldChar w:fldCharType="begin"/>
      </w:r>
      <w:r>
        <w:instrText xml:space="preserve"> HYPERLINK \l "_Toc445718894" </w:instrText>
      </w:r>
      <w:r>
        <w:fldChar w:fldCharType="separate"/>
      </w:r>
      <w:r>
        <w:rPr>
          <w:rStyle w:val="14"/>
          <w:rFonts w:hint="eastAsia"/>
          <w:sz w:val="32"/>
          <w:szCs w:val="32"/>
        </w:rPr>
        <w:t>（二）环境质量底线</w:t>
      </w:r>
      <w:r>
        <w:rPr>
          <w:sz w:val="32"/>
          <w:szCs w:val="32"/>
        </w:rPr>
        <w:tab/>
      </w:r>
      <w:r>
        <w:rPr>
          <w:sz w:val="32"/>
          <w:szCs w:val="32"/>
        </w:rPr>
        <w:fldChar w:fldCharType="begin"/>
      </w:r>
      <w:r>
        <w:rPr>
          <w:sz w:val="32"/>
          <w:szCs w:val="32"/>
        </w:rPr>
        <w:instrText xml:space="preserve"> PAGEREF _Toc445718894 \h </w:instrText>
      </w:r>
      <w:r>
        <w:rPr>
          <w:sz w:val="32"/>
          <w:szCs w:val="32"/>
        </w:rPr>
        <w:fldChar w:fldCharType="separate"/>
      </w:r>
      <w:r>
        <w:rPr>
          <w:sz w:val="32"/>
          <w:szCs w:val="32"/>
        </w:rPr>
        <w:t>12</w:t>
      </w:r>
      <w:r>
        <w:rPr>
          <w:sz w:val="32"/>
          <w:szCs w:val="32"/>
        </w:rPr>
        <w:fldChar w:fldCharType="end"/>
      </w:r>
      <w:r>
        <w:rPr>
          <w:sz w:val="32"/>
          <w:szCs w:val="32"/>
        </w:rPr>
        <w:fldChar w:fldCharType="end"/>
      </w:r>
    </w:p>
    <w:p>
      <w:pPr>
        <w:pStyle w:val="9"/>
        <w:tabs>
          <w:tab w:val="right" w:leader="dot" w:pos="8296"/>
        </w:tabs>
        <w:rPr>
          <w:rFonts w:asciiTheme="minorHAnsi" w:hAnsiTheme="minorHAnsi" w:eastAsiaTheme="minorEastAsia" w:cstheme="minorBidi"/>
          <w:sz w:val="32"/>
          <w:szCs w:val="32"/>
        </w:rPr>
      </w:pPr>
      <w:r>
        <w:fldChar w:fldCharType="begin"/>
      </w:r>
      <w:r>
        <w:instrText xml:space="preserve"> HYPERLINK \l "_Toc445718895" </w:instrText>
      </w:r>
      <w:r>
        <w:fldChar w:fldCharType="separate"/>
      </w:r>
      <w:r>
        <w:rPr>
          <w:rStyle w:val="14"/>
          <w:rFonts w:hint="eastAsia"/>
          <w:sz w:val="32"/>
          <w:szCs w:val="32"/>
        </w:rPr>
        <w:t>（三）资源消耗上限</w:t>
      </w:r>
      <w:r>
        <w:rPr>
          <w:sz w:val="32"/>
          <w:szCs w:val="32"/>
        </w:rPr>
        <w:tab/>
      </w:r>
      <w:r>
        <w:rPr>
          <w:sz w:val="32"/>
          <w:szCs w:val="32"/>
        </w:rPr>
        <w:fldChar w:fldCharType="begin"/>
      </w:r>
      <w:r>
        <w:rPr>
          <w:sz w:val="32"/>
          <w:szCs w:val="32"/>
        </w:rPr>
        <w:instrText xml:space="preserve"> PAGEREF _Toc445718895 \h </w:instrText>
      </w:r>
      <w:r>
        <w:rPr>
          <w:sz w:val="32"/>
          <w:szCs w:val="32"/>
        </w:rPr>
        <w:fldChar w:fldCharType="separate"/>
      </w:r>
      <w:r>
        <w:rPr>
          <w:sz w:val="32"/>
          <w:szCs w:val="32"/>
        </w:rPr>
        <w:t>13</w:t>
      </w:r>
      <w:r>
        <w:rPr>
          <w:sz w:val="32"/>
          <w:szCs w:val="32"/>
        </w:rPr>
        <w:fldChar w:fldCharType="end"/>
      </w:r>
      <w:r>
        <w:rPr>
          <w:sz w:val="32"/>
          <w:szCs w:val="32"/>
        </w:rPr>
        <w:fldChar w:fldCharType="end"/>
      </w:r>
    </w:p>
    <w:p>
      <w:pPr>
        <w:pStyle w:val="8"/>
        <w:tabs>
          <w:tab w:val="right" w:leader="dot" w:pos="8296"/>
        </w:tabs>
        <w:rPr>
          <w:rFonts w:asciiTheme="minorHAnsi" w:hAnsiTheme="minorHAnsi" w:eastAsiaTheme="minorEastAsia" w:cstheme="minorBidi"/>
          <w:sz w:val="32"/>
          <w:szCs w:val="32"/>
        </w:rPr>
      </w:pPr>
      <w:r>
        <w:fldChar w:fldCharType="begin"/>
      </w:r>
      <w:r>
        <w:instrText xml:space="preserve"> HYPERLINK \l "_Toc445718896" </w:instrText>
      </w:r>
      <w:r>
        <w:fldChar w:fldCharType="separate"/>
      </w:r>
      <w:r>
        <w:rPr>
          <w:rStyle w:val="14"/>
          <w:rFonts w:hint="eastAsia"/>
          <w:sz w:val="32"/>
          <w:szCs w:val="32"/>
        </w:rPr>
        <w:t>五、主要任务与重点工程</w:t>
      </w:r>
      <w:r>
        <w:rPr>
          <w:sz w:val="32"/>
          <w:szCs w:val="32"/>
        </w:rPr>
        <w:tab/>
      </w:r>
      <w:r>
        <w:rPr>
          <w:sz w:val="32"/>
          <w:szCs w:val="32"/>
        </w:rPr>
        <w:fldChar w:fldCharType="begin"/>
      </w:r>
      <w:r>
        <w:rPr>
          <w:sz w:val="32"/>
          <w:szCs w:val="32"/>
        </w:rPr>
        <w:instrText xml:space="preserve"> PAGEREF _Toc445718896 \h </w:instrText>
      </w:r>
      <w:r>
        <w:rPr>
          <w:sz w:val="32"/>
          <w:szCs w:val="32"/>
        </w:rPr>
        <w:fldChar w:fldCharType="separate"/>
      </w:r>
      <w:r>
        <w:rPr>
          <w:sz w:val="32"/>
          <w:szCs w:val="32"/>
        </w:rPr>
        <w:t>15</w:t>
      </w:r>
      <w:r>
        <w:rPr>
          <w:sz w:val="32"/>
          <w:szCs w:val="32"/>
        </w:rPr>
        <w:fldChar w:fldCharType="end"/>
      </w:r>
      <w:r>
        <w:rPr>
          <w:sz w:val="32"/>
          <w:szCs w:val="32"/>
        </w:rPr>
        <w:fldChar w:fldCharType="end"/>
      </w:r>
    </w:p>
    <w:p>
      <w:pPr>
        <w:pStyle w:val="9"/>
        <w:tabs>
          <w:tab w:val="right" w:leader="dot" w:pos="8296"/>
        </w:tabs>
        <w:rPr>
          <w:rFonts w:asciiTheme="minorHAnsi" w:hAnsiTheme="minorHAnsi" w:eastAsiaTheme="minorEastAsia" w:cstheme="minorBidi"/>
          <w:sz w:val="32"/>
          <w:szCs w:val="32"/>
        </w:rPr>
      </w:pPr>
      <w:r>
        <w:fldChar w:fldCharType="begin"/>
      </w:r>
      <w:r>
        <w:instrText xml:space="preserve"> HYPERLINK \l "_Toc445718897" </w:instrText>
      </w:r>
      <w:r>
        <w:fldChar w:fldCharType="separate"/>
      </w:r>
      <w:r>
        <w:rPr>
          <w:rStyle w:val="14"/>
          <w:rFonts w:hint="eastAsia"/>
          <w:sz w:val="32"/>
          <w:szCs w:val="32"/>
        </w:rPr>
        <w:t>（一）水资源与水环境</w:t>
      </w:r>
      <w:r>
        <w:rPr>
          <w:sz w:val="32"/>
          <w:szCs w:val="32"/>
        </w:rPr>
        <w:tab/>
      </w:r>
      <w:r>
        <w:rPr>
          <w:sz w:val="32"/>
          <w:szCs w:val="32"/>
        </w:rPr>
        <w:fldChar w:fldCharType="begin"/>
      </w:r>
      <w:r>
        <w:rPr>
          <w:sz w:val="32"/>
          <w:szCs w:val="32"/>
        </w:rPr>
        <w:instrText xml:space="preserve"> PAGEREF _Toc445718897 \h </w:instrText>
      </w:r>
      <w:r>
        <w:rPr>
          <w:sz w:val="32"/>
          <w:szCs w:val="32"/>
        </w:rPr>
        <w:fldChar w:fldCharType="separate"/>
      </w:r>
      <w:r>
        <w:rPr>
          <w:sz w:val="32"/>
          <w:szCs w:val="32"/>
        </w:rPr>
        <w:t>15</w:t>
      </w:r>
      <w:r>
        <w:rPr>
          <w:sz w:val="32"/>
          <w:szCs w:val="32"/>
        </w:rPr>
        <w:fldChar w:fldCharType="end"/>
      </w:r>
      <w:r>
        <w:rPr>
          <w:sz w:val="32"/>
          <w:szCs w:val="32"/>
        </w:rPr>
        <w:fldChar w:fldCharType="end"/>
      </w:r>
    </w:p>
    <w:p>
      <w:pPr>
        <w:pStyle w:val="9"/>
        <w:tabs>
          <w:tab w:val="right" w:leader="dot" w:pos="8296"/>
        </w:tabs>
        <w:rPr>
          <w:rFonts w:asciiTheme="minorHAnsi" w:hAnsiTheme="minorHAnsi" w:eastAsiaTheme="minorEastAsia" w:cstheme="minorBidi"/>
          <w:sz w:val="32"/>
          <w:szCs w:val="32"/>
        </w:rPr>
      </w:pPr>
      <w:r>
        <w:fldChar w:fldCharType="begin"/>
      </w:r>
      <w:r>
        <w:instrText xml:space="preserve"> HYPERLINK \l "_Toc445718898" </w:instrText>
      </w:r>
      <w:r>
        <w:fldChar w:fldCharType="separate"/>
      </w:r>
      <w:r>
        <w:rPr>
          <w:rStyle w:val="14"/>
          <w:rFonts w:hint="eastAsia"/>
          <w:sz w:val="32"/>
          <w:szCs w:val="32"/>
        </w:rPr>
        <w:t>（二）森林建设与保护</w:t>
      </w:r>
      <w:r>
        <w:rPr>
          <w:sz w:val="32"/>
          <w:szCs w:val="32"/>
        </w:rPr>
        <w:tab/>
      </w:r>
      <w:r>
        <w:rPr>
          <w:sz w:val="32"/>
          <w:szCs w:val="32"/>
        </w:rPr>
        <w:fldChar w:fldCharType="begin"/>
      </w:r>
      <w:r>
        <w:rPr>
          <w:sz w:val="32"/>
          <w:szCs w:val="32"/>
        </w:rPr>
        <w:instrText xml:space="preserve"> PAGEREF _Toc445718898 \h </w:instrText>
      </w:r>
      <w:r>
        <w:rPr>
          <w:sz w:val="32"/>
          <w:szCs w:val="32"/>
        </w:rPr>
        <w:fldChar w:fldCharType="separate"/>
      </w:r>
      <w:r>
        <w:rPr>
          <w:sz w:val="32"/>
          <w:szCs w:val="32"/>
        </w:rPr>
        <w:t>22</w:t>
      </w:r>
      <w:r>
        <w:rPr>
          <w:sz w:val="32"/>
          <w:szCs w:val="32"/>
        </w:rPr>
        <w:fldChar w:fldCharType="end"/>
      </w:r>
      <w:r>
        <w:rPr>
          <w:sz w:val="32"/>
          <w:szCs w:val="32"/>
        </w:rPr>
        <w:fldChar w:fldCharType="end"/>
      </w:r>
    </w:p>
    <w:p>
      <w:pPr>
        <w:pStyle w:val="9"/>
        <w:tabs>
          <w:tab w:val="right" w:leader="dot" w:pos="8296"/>
        </w:tabs>
        <w:rPr>
          <w:rFonts w:asciiTheme="minorHAnsi" w:hAnsiTheme="minorHAnsi" w:eastAsiaTheme="minorEastAsia" w:cstheme="minorBidi"/>
          <w:sz w:val="32"/>
          <w:szCs w:val="32"/>
        </w:rPr>
      </w:pPr>
      <w:r>
        <w:fldChar w:fldCharType="begin"/>
      </w:r>
      <w:r>
        <w:instrText xml:space="preserve"> HYPERLINK \l "_Toc445718899" </w:instrText>
      </w:r>
      <w:r>
        <w:fldChar w:fldCharType="separate"/>
      </w:r>
      <w:r>
        <w:rPr>
          <w:rStyle w:val="14"/>
          <w:rFonts w:hint="eastAsia"/>
          <w:sz w:val="32"/>
          <w:szCs w:val="32"/>
        </w:rPr>
        <w:t>（三）农田与农村环境</w:t>
      </w:r>
      <w:r>
        <w:rPr>
          <w:sz w:val="32"/>
          <w:szCs w:val="32"/>
        </w:rPr>
        <w:tab/>
      </w:r>
      <w:r>
        <w:rPr>
          <w:sz w:val="32"/>
          <w:szCs w:val="32"/>
        </w:rPr>
        <w:fldChar w:fldCharType="begin"/>
      </w:r>
      <w:r>
        <w:rPr>
          <w:sz w:val="32"/>
          <w:szCs w:val="32"/>
        </w:rPr>
        <w:instrText xml:space="preserve"> PAGEREF _Toc445718899 \h </w:instrText>
      </w:r>
      <w:r>
        <w:rPr>
          <w:sz w:val="32"/>
          <w:szCs w:val="32"/>
        </w:rPr>
        <w:fldChar w:fldCharType="separate"/>
      </w:r>
      <w:r>
        <w:rPr>
          <w:sz w:val="32"/>
          <w:szCs w:val="32"/>
        </w:rPr>
        <w:t>28</w:t>
      </w:r>
      <w:r>
        <w:rPr>
          <w:sz w:val="32"/>
          <w:szCs w:val="32"/>
        </w:rPr>
        <w:fldChar w:fldCharType="end"/>
      </w:r>
      <w:r>
        <w:rPr>
          <w:sz w:val="32"/>
          <w:szCs w:val="32"/>
        </w:rPr>
        <w:fldChar w:fldCharType="end"/>
      </w:r>
    </w:p>
    <w:p>
      <w:pPr>
        <w:pStyle w:val="9"/>
        <w:tabs>
          <w:tab w:val="right" w:leader="dot" w:pos="8296"/>
        </w:tabs>
        <w:rPr>
          <w:rFonts w:asciiTheme="minorHAnsi" w:hAnsiTheme="minorHAnsi" w:eastAsiaTheme="minorEastAsia" w:cstheme="minorBidi"/>
          <w:sz w:val="32"/>
          <w:szCs w:val="32"/>
        </w:rPr>
      </w:pPr>
      <w:r>
        <w:fldChar w:fldCharType="begin"/>
      </w:r>
      <w:r>
        <w:instrText xml:space="preserve"> HYPERLINK \l "_Toc445718900" </w:instrText>
      </w:r>
      <w:r>
        <w:fldChar w:fldCharType="separate"/>
      </w:r>
      <w:r>
        <w:rPr>
          <w:rStyle w:val="14"/>
          <w:rFonts w:hint="eastAsia"/>
          <w:sz w:val="32"/>
          <w:szCs w:val="32"/>
        </w:rPr>
        <w:t>（四）湿地恢复与保护</w:t>
      </w:r>
      <w:r>
        <w:rPr>
          <w:sz w:val="32"/>
          <w:szCs w:val="32"/>
        </w:rPr>
        <w:tab/>
      </w:r>
      <w:r>
        <w:rPr>
          <w:sz w:val="32"/>
          <w:szCs w:val="32"/>
        </w:rPr>
        <w:fldChar w:fldCharType="begin"/>
      </w:r>
      <w:r>
        <w:rPr>
          <w:sz w:val="32"/>
          <w:szCs w:val="32"/>
        </w:rPr>
        <w:instrText xml:space="preserve"> PAGEREF _Toc445718900 \h </w:instrText>
      </w:r>
      <w:r>
        <w:rPr>
          <w:sz w:val="32"/>
          <w:szCs w:val="32"/>
        </w:rPr>
        <w:fldChar w:fldCharType="separate"/>
      </w:r>
      <w:r>
        <w:rPr>
          <w:sz w:val="32"/>
          <w:szCs w:val="32"/>
        </w:rPr>
        <w:t>34</w:t>
      </w:r>
      <w:r>
        <w:rPr>
          <w:sz w:val="32"/>
          <w:szCs w:val="32"/>
        </w:rPr>
        <w:fldChar w:fldCharType="end"/>
      </w:r>
      <w:r>
        <w:rPr>
          <w:sz w:val="32"/>
          <w:szCs w:val="32"/>
        </w:rPr>
        <w:fldChar w:fldCharType="end"/>
      </w:r>
    </w:p>
    <w:p>
      <w:pPr>
        <w:pStyle w:val="9"/>
        <w:tabs>
          <w:tab w:val="right" w:leader="dot" w:pos="8296"/>
        </w:tabs>
        <w:rPr>
          <w:rFonts w:asciiTheme="minorHAnsi" w:hAnsiTheme="minorHAnsi" w:eastAsiaTheme="minorEastAsia" w:cstheme="minorBidi"/>
          <w:sz w:val="32"/>
          <w:szCs w:val="32"/>
        </w:rPr>
      </w:pPr>
      <w:r>
        <w:fldChar w:fldCharType="begin"/>
      </w:r>
      <w:r>
        <w:instrText xml:space="preserve"> HYPERLINK \l "_Toc445718901" </w:instrText>
      </w:r>
      <w:r>
        <w:fldChar w:fldCharType="separate"/>
      </w:r>
      <w:r>
        <w:rPr>
          <w:rStyle w:val="14"/>
          <w:rFonts w:hint="eastAsia"/>
          <w:sz w:val="32"/>
          <w:szCs w:val="32"/>
        </w:rPr>
        <w:t>（五）山区治理与修复</w:t>
      </w:r>
      <w:r>
        <w:rPr>
          <w:sz w:val="32"/>
          <w:szCs w:val="32"/>
        </w:rPr>
        <w:tab/>
      </w:r>
      <w:r>
        <w:rPr>
          <w:sz w:val="32"/>
          <w:szCs w:val="32"/>
        </w:rPr>
        <w:fldChar w:fldCharType="begin"/>
      </w:r>
      <w:r>
        <w:rPr>
          <w:sz w:val="32"/>
          <w:szCs w:val="32"/>
        </w:rPr>
        <w:instrText xml:space="preserve"> PAGEREF _Toc445718901 \h </w:instrText>
      </w:r>
      <w:r>
        <w:rPr>
          <w:sz w:val="32"/>
          <w:szCs w:val="32"/>
        </w:rPr>
        <w:fldChar w:fldCharType="separate"/>
      </w:r>
      <w:r>
        <w:rPr>
          <w:sz w:val="32"/>
          <w:szCs w:val="32"/>
        </w:rPr>
        <w:t>36</w:t>
      </w:r>
      <w:r>
        <w:rPr>
          <w:sz w:val="32"/>
          <w:szCs w:val="32"/>
        </w:rPr>
        <w:fldChar w:fldCharType="end"/>
      </w:r>
      <w:r>
        <w:rPr>
          <w:sz w:val="32"/>
          <w:szCs w:val="32"/>
        </w:rPr>
        <w:fldChar w:fldCharType="end"/>
      </w:r>
    </w:p>
    <w:p>
      <w:pPr>
        <w:pStyle w:val="8"/>
        <w:tabs>
          <w:tab w:val="right" w:leader="dot" w:pos="8296"/>
        </w:tabs>
        <w:rPr>
          <w:rFonts w:asciiTheme="minorHAnsi" w:hAnsiTheme="minorHAnsi" w:eastAsiaTheme="minorEastAsia" w:cstheme="minorBidi"/>
          <w:sz w:val="32"/>
          <w:szCs w:val="32"/>
        </w:rPr>
      </w:pPr>
      <w:r>
        <w:fldChar w:fldCharType="begin"/>
      </w:r>
      <w:r>
        <w:instrText xml:space="preserve"> HYPERLINK \l "_Toc445718902" </w:instrText>
      </w:r>
      <w:r>
        <w:fldChar w:fldCharType="separate"/>
      </w:r>
      <w:r>
        <w:rPr>
          <w:rStyle w:val="14"/>
          <w:rFonts w:hint="eastAsia"/>
          <w:sz w:val="32"/>
          <w:szCs w:val="32"/>
        </w:rPr>
        <w:t>六、创新体制机制</w:t>
      </w:r>
      <w:r>
        <w:rPr>
          <w:sz w:val="32"/>
          <w:szCs w:val="32"/>
        </w:rPr>
        <w:tab/>
      </w:r>
      <w:r>
        <w:rPr>
          <w:sz w:val="32"/>
          <w:szCs w:val="32"/>
        </w:rPr>
        <w:fldChar w:fldCharType="begin"/>
      </w:r>
      <w:r>
        <w:rPr>
          <w:sz w:val="32"/>
          <w:szCs w:val="32"/>
        </w:rPr>
        <w:instrText xml:space="preserve"> PAGEREF _Toc445718902 \h </w:instrText>
      </w:r>
      <w:r>
        <w:rPr>
          <w:sz w:val="32"/>
          <w:szCs w:val="32"/>
        </w:rPr>
        <w:fldChar w:fldCharType="separate"/>
      </w:r>
      <w:r>
        <w:rPr>
          <w:sz w:val="32"/>
          <w:szCs w:val="32"/>
        </w:rPr>
        <w:t>37</w:t>
      </w:r>
      <w:r>
        <w:rPr>
          <w:sz w:val="32"/>
          <w:szCs w:val="32"/>
        </w:rPr>
        <w:fldChar w:fldCharType="end"/>
      </w:r>
      <w:r>
        <w:rPr>
          <w:sz w:val="32"/>
          <w:szCs w:val="32"/>
        </w:rPr>
        <w:fldChar w:fldCharType="end"/>
      </w:r>
    </w:p>
    <w:p>
      <w:pPr>
        <w:pStyle w:val="9"/>
        <w:tabs>
          <w:tab w:val="right" w:leader="dot" w:pos="8296"/>
        </w:tabs>
        <w:rPr>
          <w:rFonts w:asciiTheme="minorHAnsi" w:hAnsiTheme="minorHAnsi" w:eastAsiaTheme="minorEastAsia" w:cstheme="minorBidi"/>
          <w:sz w:val="32"/>
          <w:szCs w:val="32"/>
        </w:rPr>
      </w:pPr>
      <w:r>
        <w:fldChar w:fldCharType="begin"/>
      </w:r>
      <w:r>
        <w:instrText xml:space="preserve"> HYPERLINK \l "_Toc445718903" </w:instrText>
      </w:r>
      <w:r>
        <w:fldChar w:fldCharType="separate"/>
      </w:r>
      <w:r>
        <w:rPr>
          <w:rStyle w:val="14"/>
          <w:rFonts w:hint="eastAsia"/>
          <w:sz w:val="32"/>
          <w:szCs w:val="32"/>
        </w:rPr>
        <w:t>（一）健全生态环境法规体系</w:t>
      </w:r>
      <w:r>
        <w:rPr>
          <w:sz w:val="32"/>
          <w:szCs w:val="32"/>
        </w:rPr>
        <w:tab/>
      </w:r>
      <w:r>
        <w:rPr>
          <w:sz w:val="32"/>
          <w:szCs w:val="32"/>
        </w:rPr>
        <w:fldChar w:fldCharType="begin"/>
      </w:r>
      <w:r>
        <w:rPr>
          <w:sz w:val="32"/>
          <w:szCs w:val="32"/>
        </w:rPr>
        <w:instrText xml:space="preserve"> PAGEREF _Toc445718903 \h </w:instrText>
      </w:r>
      <w:r>
        <w:rPr>
          <w:sz w:val="32"/>
          <w:szCs w:val="32"/>
        </w:rPr>
        <w:fldChar w:fldCharType="separate"/>
      </w:r>
      <w:r>
        <w:rPr>
          <w:sz w:val="32"/>
          <w:szCs w:val="32"/>
        </w:rPr>
        <w:t>37</w:t>
      </w:r>
      <w:r>
        <w:rPr>
          <w:sz w:val="32"/>
          <w:szCs w:val="32"/>
        </w:rPr>
        <w:fldChar w:fldCharType="end"/>
      </w:r>
      <w:r>
        <w:rPr>
          <w:sz w:val="32"/>
          <w:szCs w:val="32"/>
        </w:rPr>
        <w:fldChar w:fldCharType="end"/>
      </w:r>
    </w:p>
    <w:p>
      <w:pPr>
        <w:pStyle w:val="9"/>
        <w:tabs>
          <w:tab w:val="right" w:leader="dot" w:pos="8296"/>
        </w:tabs>
        <w:rPr>
          <w:rFonts w:asciiTheme="minorHAnsi" w:hAnsiTheme="minorHAnsi" w:eastAsiaTheme="minorEastAsia" w:cstheme="minorBidi"/>
          <w:sz w:val="32"/>
          <w:szCs w:val="32"/>
        </w:rPr>
      </w:pPr>
      <w:r>
        <w:fldChar w:fldCharType="begin"/>
      </w:r>
      <w:r>
        <w:instrText xml:space="preserve"> HYPERLINK \l "_Toc445718904" </w:instrText>
      </w:r>
      <w:r>
        <w:fldChar w:fldCharType="separate"/>
      </w:r>
      <w:r>
        <w:rPr>
          <w:rStyle w:val="14"/>
          <w:rFonts w:hint="eastAsia"/>
          <w:sz w:val="32"/>
          <w:szCs w:val="32"/>
        </w:rPr>
        <w:t>（二）健全自然资源产权和用途管制制度</w:t>
      </w:r>
      <w:r>
        <w:rPr>
          <w:sz w:val="32"/>
          <w:szCs w:val="32"/>
        </w:rPr>
        <w:tab/>
      </w:r>
      <w:r>
        <w:rPr>
          <w:sz w:val="32"/>
          <w:szCs w:val="32"/>
        </w:rPr>
        <w:fldChar w:fldCharType="begin"/>
      </w:r>
      <w:r>
        <w:rPr>
          <w:sz w:val="32"/>
          <w:szCs w:val="32"/>
        </w:rPr>
        <w:instrText xml:space="preserve"> PAGEREF _Toc445718904 \h </w:instrText>
      </w:r>
      <w:r>
        <w:rPr>
          <w:sz w:val="32"/>
          <w:szCs w:val="32"/>
        </w:rPr>
        <w:fldChar w:fldCharType="separate"/>
      </w:r>
      <w:r>
        <w:rPr>
          <w:sz w:val="32"/>
          <w:szCs w:val="32"/>
        </w:rPr>
        <w:t>38</w:t>
      </w:r>
      <w:r>
        <w:rPr>
          <w:sz w:val="32"/>
          <w:szCs w:val="32"/>
        </w:rPr>
        <w:fldChar w:fldCharType="end"/>
      </w:r>
      <w:r>
        <w:rPr>
          <w:sz w:val="32"/>
          <w:szCs w:val="32"/>
        </w:rPr>
        <w:fldChar w:fldCharType="end"/>
      </w:r>
    </w:p>
    <w:p>
      <w:pPr>
        <w:pStyle w:val="9"/>
        <w:tabs>
          <w:tab w:val="right" w:leader="dot" w:pos="8296"/>
        </w:tabs>
        <w:rPr>
          <w:rFonts w:asciiTheme="minorHAnsi" w:hAnsiTheme="minorHAnsi" w:eastAsiaTheme="minorEastAsia" w:cstheme="minorBidi"/>
          <w:sz w:val="32"/>
          <w:szCs w:val="32"/>
        </w:rPr>
      </w:pPr>
      <w:r>
        <w:fldChar w:fldCharType="begin"/>
      </w:r>
      <w:r>
        <w:instrText xml:space="preserve"> HYPERLINK \l "_Toc445718905" </w:instrText>
      </w:r>
      <w:r>
        <w:fldChar w:fldCharType="separate"/>
      </w:r>
      <w:r>
        <w:rPr>
          <w:rStyle w:val="14"/>
          <w:rFonts w:hint="eastAsia"/>
          <w:sz w:val="32"/>
          <w:szCs w:val="32"/>
        </w:rPr>
        <w:t>（三）完善生态效益补偿制度体系</w:t>
      </w:r>
      <w:r>
        <w:rPr>
          <w:sz w:val="32"/>
          <w:szCs w:val="32"/>
        </w:rPr>
        <w:tab/>
      </w:r>
      <w:r>
        <w:rPr>
          <w:sz w:val="32"/>
          <w:szCs w:val="32"/>
        </w:rPr>
        <w:fldChar w:fldCharType="begin"/>
      </w:r>
      <w:r>
        <w:rPr>
          <w:sz w:val="32"/>
          <w:szCs w:val="32"/>
        </w:rPr>
        <w:instrText xml:space="preserve"> PAGEREF _Toc445718905 \h </w:instrText>
      </w:r>
      <w:r>
        <w:rPr>
          <w:sz w:val="32"/>
          <w:szCs w:val="32"/>
        </w:rPr>
        <w:fldChar w:fldCharType="separate"/>
      </w:r>
      <w:r>
        <w:rPr>
          <w:sz w:val="32"/>
          <w:szCs w:val="32"/>
        </w:rPr>
        <w:t>39</w:t>
      </w:r>
      <w:r>
        <w:rPr>
          <w:sz w:val="32"/>
          <w:szCs w:val="32"/>
        </w:rPr>
        <w:fldChar w:fldCharType="end"/>
      </w:r>
      <w:r>
        <w:rPr>
          <w:sz w:val="32"/>
          <w:szCs w:val="32"/>
        </w:rPr>
        <w:fldChar w:fldCharType="end"/>
      </w:r>
    </w:p>
    <w:p>
      <w:pPr>
        <w:pStyle w:val="9"/>
        <w:tabs>
          <w:tab w:val="right" w:leader="dot" w:pos="8296"/>
        </w:tabs>
        <w:rPr>
          <w:rFonts w:asciiTheme="minorHAnsi" w:hAnsiTheme="minorHAnsi" w:eastAsiaTheme="minorEastAsia" w:cstheme="minorBidi"/>
          <w:sz w:val="32"/>
          <w:szCs w:val="32"/>
        </w:rPr>
      </w:pPr>
      <w:r>
        <w:fldChar w:fldCharType="begin"/>
      </w:r>
      <w:r>
        <w:instrText xml:space="preserve"> HYPERLINK \l "_Toc445718906" </w:instrText>
      </w:r>
      <w:r>
        <w:fldChar w:fldCharType="separate"/>
      </w:r>
      <w:r>
        <w:rPr>
          <w:rStyle w:val="14"/>
          <w:rFonts w:hint="eastAsia"/>
          <w:sz w:val="32"/>
          <w:szCs w:val="32"/>
        </w:rPr>
        <w:t>（四）建立生态环境保护联动机制</w:t>
      </w:r>
      <w:r>
        <w:rPr>
          <w:sz w:val="32"/>
          <w:szCs w:val="32"/>
        </w:rPr>
        <w:tab/>
      </w:r>
      <w:r>
        <w:rPr>
          <w:sz w:val="32"/>
          <w:szCs w:val="32"/>
        </w:rPr>
        <w:fldChar w:fldCharType="begin"/>
      </w:r>
      <w:r>
        <w:rPr>
          <w:sz w:val="32"/>
          <w:szCs w:val="32"/>
        </w:rPr>
        <w:instrText xml:space="preserve"> PAGEREF _Toc445718906 \h </w:instrText>
      </w:r>
      <w:r>
        <w:rPr>
          <w:sz w:val="32"/>
          <w:szCs w:val="32"/>
        </w:rPr>
        <w:fldChar w:fldCharType="separate"/>
      </w:r>
      <w:r>
        <w:rPr>
          <w:sz w:val="32"/>
          <w:szCs w:val="32"/>
        </w:rPr>
        <w:t>39</w:t>
      </w:r>
      <w:r>
        <w:rPr>
          <w:sz w:val="32"/>
          <w:szCs w:val="32"/>
        </w:rPr>
        <w:fldChar w:fldCharType="end"/>
      </w:r>
      <w:r>
        <w:rPr>
          <w:sz w:val="32"/>
          <w:szCs w:val="32"/>
        </w:rPr>
        <w:fldChar w:fldCharType="end"/>
      </w:r>
    </w:p>
    <w:p>
      <w:pPr>
        <w:pStyle w:val="9"/>
        <w:tabs>
          <w:tab w:val="right" w:leader="dot" w:pos="8296"/>
        </w:tabs>
        <w:rPr>
          <w:rFonts w:asciiTheme="minorHAnsi" w:hAnsiTheme="minorHAnsi" w:eastAsiaTheme="minorEastAsia" w:cstheme="minorBidi"/>
          <w:sz w:val="32"/>
          <w:szCs w:val="32"/>
        </w:rPr>
      </w:pPr>
      <w:r>
        <w:fldChar w:fldCharType="begin"/>
      </w:r>
      <w:r>
        <w:instrText xml:space="preserve"> HYPERLINK \l "_Toc445718907" </w:instrText>
      </w:r>
      <w:r>
        <w:fldChar w:fldCharType="separate"/>
      </w:r>
      <w:r>
        <w:rPr>
          <w:rStyle w:val="14"/>
          <w:rFonts w:hint="eastAsia"/>
          <w:sz w:val="32"/>
          <w:szCs w:val="32"/>
        </w:rPr>
        <w:t>（五）创新生态环境修复市场机制</w:t>
      </w:r>
      <w:r>
        <w:rPr>
          <w:sz w:val="32"/>
          <w:szCs w:val="32"/>
        </w:rPr>
        <w:tab/>
      </w:r>
      <w:r>
        <w:rPr>
          <w:sz w:val="32"/>
          <w:szCs w:val="32"/>
        </w:rPr>
        <w:fldChar w:fldCharType="begin"/>
      </w:r>
      <w:r>
        <w:rPr>
          <w:sz w:val="32"/>
          <w:szCs w:val="32"/>
        </w:rPr>
        <w:instrText xml:space="preserve"> PAGEREF _Toc445718907 \h </w:instrText>
      </w:r>
      <w:r>
        <w:rPr>
          <w:sz w:val="32"/>
          <w:szCs w:val="32"/>
        </w:rPr>
        <w:fldChar w:fldCharType="separate"/>
      </w:r>
      <w:r>
        <w:rPr>
          <w:sz w:val="32"/>
          <w:szCs w:val="32"/>
        </w:rPr>
        <w:t>40</w:t>
      </w:r>
      <w:r>
        <w:rPr>
          <w:sz w:val="32"/>
          <w:szCs w:val="32"/>
        </w:rPr>
        <w:fldChar w:fldCharType="end"/>
      </w:r>
      <w:r>
        <w:rPr>
          <w:sz w:val="32"/>
          <w:szCs w:val="32"/>
        </w:rPr>
        <w:fldChar w:fldCharType="end"/>
      </w:r>
    </w:p>
    <w:p>
      <w:pPr>
        <w:pStyle w:val="9"/>
        <w:tabs>
          <w:tab w:val="right" w:leader="dot" w:pos="8296"/>
        </w:tabs>
        <w:rPr>
          <w:rFonts w:asciiTheme="minorHAnsi" w:hAnsiTheme="minorHAnsi" w:eastAsiaTheme="minorEastAsia" w:cstheme="minorBidi"/>
          <w:sz w:val="32"/>
          <w:szCs w:val="32"/>
        </w:rPr>
      </w:pPr>
      <w:r>
        <w:fldChar w:fldCharType="begin"/>
      </w:r>
      <w:r>
        <w:instrText xml:space="preserve"> HYPERLINK \l "_Toc445718908" </w:instrText>
      </w:r>
      <w:r>
        <w:fldChar w:fldCharType="separate"/>
      </w:r>
      <w:r>
        <w:rPr>
          <w:rStyle w:val="14"/>
          <w:rFonts w:hint="eastAsia"/>
          <w:sz w:val="32"/>
          <w:szCs w:val="32"/>
        </w:rPr>
        <w:t>（六）完善生态环境监测与应急体系</w:t>
      </w:r>
      <w:r>
        <w:rPr>
          <w:sz w:val="32"/>
          <w:szCs w:val="32"/>
        </w:rPr>
        <w:tab/>
      </w:r>
      <w:r>
        <w:rPr>
          <w:sz w:val="32"/>
          <w:szCs w:val="32"/>
        </w:rPr>
        <w:fldChar w:fldCharType="begin"/>
      </w:r>
      <w:r>
        <w:rPr>
          <w:sz w:val="32"/>
          <w:szCs w:val="32"/>
        </w:rPr>
        <w:instrText xml:space="preserve"> PAGEREF _Toc445718908 \h </w:instrText>
      </w:r>
      <w:r>
        <w:rPr>
          <w:sz w:val="32"/>
          <w:szCs w:val="32"/>
        </w:rPr>
        <w:fldChar w:fldCharType="separate"/>
      </w:r>
      <w:r>
        <w:rPr>
          <w:sz w:val="32"/>
          <w:szCs w:val="32"/>
        </w:rPr>
        <w:t>41</w:t>
      </w:r>
      <w:r>
        <w:rPr>
          <w:sz w:val="32"/>
          <w:szCs w:val="32"/>
        </w:rPr>
        <w:fldChar w:fldCharType="end"/>
      </w:r>
      <w:r>
        <w:rPr>
          <w:sz w:val="32"/>
          <w:szCs w:val="32"/>
        </w:rPr>
        <w:fldChar w:fldCharType="end"/>
      </w:r>
    </w:p>
    <w:p>
      <w:pPr>
        <w:pStyle w:val="8"/>
        <w:tabs>
          <w:tab w:val="right" w:leader="dot" w:pos="8296"/>
        </w:tabs>
        <w:rPr>
          <w:rFonts w:asciiTheme="minorHAnsi" w:hAnsiTheme="minorHAnsi" w:eastAsiaTheme="minorEastAsia" w:cstheme="minorBidi"/>
          <w:sz w:val="32"/>
          <w:szCs w:val="32"/>
        </w:rPr>
      </w:pPr>
      <w:r>
        <w:fldChar w:fldCharType="begin"/>
      </w:r>
      <w:r>
        <w:instrText xml:space="preserve"> HYPERLINK \l "_Toc445718909" </w:instrText>
      </w:r>
      <w:r>
        <w:fldChar w:fldCharType="separate"/>
      </w:r>
      <w:r>
        <w:rPr>
          <w:rStyle w:val="14"/>
          <w:rFonts w:hint="eastAsia"/>
          <w:sz w:val="32"/>
          <w:szCs w:val="32"/>
        </w:rPr>
        <w:t>七、保障措施</w:t>
      </w:r>
      <w:r>
        <w:rPr>
          <w:sz w:val="32"/>
          <w:szCs w:val="32"/>
        </w:rPr>
        <w:tab/>
      </w:r>
      <w:r>
        <w:rPr>
          <w:sz w:val="32"/>
          <w:szCs w:val="32"/>
        </w:rPr>
        <w:fldChar w:fldCharType="begin"/>
      </w:r>
      <w:r>
        <w:rPr>
          <w:sz w:val="32"/>
          <w:szCs w:val="32"/>
        </w:rPr>
        <w:instrText xml:space="preserve"> PAGEREF _Toc445718909 \h </w:instrText>
      </w:r>
      <w:r>
        <w:rPr>
          <w:sz w:val="32"/>
          <w:szCs w:val="32"/>
        </w:rPr>
        <w:fldChar w:fldCharType="separate"/>
      </w:r>
      <w:r>
        <w:rPr>
          <w:sz w:val="32"/>
          <w:szCs w:val="32"/>
        </w:rPr>
        <w:t>42</w:t>
      </w:r>
      <w:r>
        <w:rPr>
          <w:sz w:val="32"/>
          <w:szCs w:val="32"/>
        </w:rPr>
        <w:fldChar w:fldCharType="end"/>
      </w:r>
      <w:r>
        <w:rPr>
          <w:sz w:val="32"/>
          <w:szCs w:val="32"/>
        </w:rPr>
        <w:fldChar w:fldCharType="end"/>
      </w:r>
    </w:p>
    <w:p>
      <w:pPr>
        <w:pStyle w:val="9"/>
        <w:tabs>
          <w:tab w:val="right" w:leader="dot" w:pos="8296"/>
        </w:tabs>
        <w:rPr>
          <w:rFonts w:asciiTheme="minorHAnsi" w:hAnsiTheme="minorHAnsi" w:eastAsiaTheme="minorEastAsia" w:cstheme="minorBidi"/>
          <w:sz w:val="32"/>
          <w:szCs w:val="32"/>
        </w:rPr>
      </w:pPr>
      <w:r>
        <w:fldChar w:fldCharType="begin"/>
      </w:r>
      <w:r>
        <w:instrText xml:space="preserve"> HYPERLINK \l "_Toc445718910" </w:instrText>
      </w:r>
      <w:r>
        <w:fldChar w:fldCharType="separate"/>
      </w:r>
      <w:r>
        <w:rPr>
          <w:rStyle w:val="14"/>
          <w:rFonts w:hint="eastAsia"/>
          <w:sz w:val="32"/>
          <w:szCs w:val="32"/>
        </w:rPr>
        <w:t>（一）加强组织领导，落实工作责任</w:t>
      </w:r>
      <w:r>
        <w:rPr>
          <w:sz w:val="32"/>
          <w:szCs w:val="32"/>
        </w:rPr>
        <w:tab/>
      </w:r>
      <w:r>
        <w:rPr>
          <w:sz w:val="32"/>
          <w:szCs w:val="32"/>
        </w:rPr>
        <w:fldChar w:fldCharType="begin"/>
      </w:r>
      <w:r>
        <w:rPr>
          <w:sz w:val="32"/>
          <w:szCs w:val="32"/>
        </w:rPr>
        <w:instrText xml:space="preserve"> PAGEREF _Toc445718910 \h </w:instrText>
      </w:r>
      <w:r>
        <w:rPr>
          <w:sz w:val="32"/>
          <w:szCs w:val="32"/>
        </w:rPr>
        <w:fldChar w:fldCharType="separate"/>
      </w:r>
      <w:r>
        <w:rPr>
          <w:sz w:val="32"/>
          <w:szCs w:val="32"/>
        </w:rPr>
        <w:t>42</w:t>
      </w:r>
      <w:r>
        <w:rPr>
          <w:sz w:val="32"/>
          <w:szCs w:val="32"/>
        </w:rPr>
        <w:fldChar w:fldCharType="end"/>
      </w:r>
      <w:r>
        <w:rPr>
          <w:sz w:val="32"/>
          <w:szCs w:val="32"/>
        </w:rPr>
        <w:fldChar w:fldCharType="end"/>
      </w:r>
    </w:p>
    <w:p>
      <w:pPr>
        <w:pStyle w:val="9"/>
        <w:tabs>
          <w:tab w:val="right" w:leader="dot" w:pos="8296"/>
        </w:tabs>
        <w:rPr>
          <w:rFonts w:asciiTheme="minorHAnsi" w:hAnsiTheme="minorHAnsi" w:eastAsiaTheme="minorEastAsia" w:cstheme="minorBidi"/>
          <w:sz w:val="32"/>
          <w:szCs w:val="32"/>
        </w:rPr>
      </w:pPr>
      <w:r>
        <w:fldChar w:fldCharType="begin"/>
      </w:r>
      <w:r>
        <w:instrText xml:space="preserve"> HYPERLINK \l "_Toc445718911" </w:instrText>
      </w:r>
      <w:r>
        <w:fldChar w:fldCharType="separate"/>
      </w:r>
      <w:r>
        <w:rPr>
          <w:rStyle w:val="14"/>
          <w:rFonts w:hint="eastAsia"/>
          <w:sz w:val="32"/>
          <w:szCs w:val="32"/>
        </w:rPr>
        <w:t>（二）强化政策支持，多元筹措资金</w:t>
      </w:r>
      <w:r>
        <w:rPr>
          <w:sz w:val="32"/>
          <w:szCs w:val="32"/>
        </w:rPr>
        <w:tab/>
      </w:r>
      <w:r>
        <w:rPr>
          <w:sz w:val="32"/>
          <w:szCs w:val="32"/>
        </w:rPr>
        <w:fldChar w:fldCharType="begin"/>
      </w:r>
      <w:r>
        <w:rPr>
          <w:sz w:val="32"/>
          <w:szCs w:val="32"/>
        </w:rPr>
        <w:instrText xml:space="preserve"> PAGEREF _Toc445718911 \h </w:instrText>
      </w:r>
      <w:r>
        <w:rPr>
          <w:sz w:val="32"/>
          <w:szCs w:val="32"/>
        </w:rPr>
        <w:fldChar w:fldCharType="separate"/>
      </w:r>
      <w:r>
        <w:rPr>
          <w:sz w:val="32"/>
          <w:szCs w:val="32"/>
        </w:rPr>
        <w:t>42</w:t>
      </w:r>
      <w:r>
        <w:rPr>
          <w:sz w:val="32"/>
          <w:szCs w:val="32"/>
        </w:rPr>
        <w:fldChar w:fldCharType="end"/>
      </w:r>
      <w:r>
        <w:rPr>
          <w:sz w:val="32"/>
          <w:szCs w:val="32"/>
        </w:rPr>
        <w:fldChar w:fldCharType="end"/>
      </w:r>
    </w:p>
    <w:p>
      <w:pPr>
        <w:pStyle w:val="9"/>
        <w:tabs>
          <w:tab w:val="right" w:leader="dot" w:pos="8296"/>
        </w:tabs>
        <w:rPr>
          <w:rFonts w:asciiTheme="minorHAnsi" w:hAnsiTheme="minorHAnsi" w:eastAsiaTheme="minorEastAsia" w:cstheme="minorBidi"/>
          <w:sz w:val="32"/>
          <w:szCs w:val="32"/>
        </w:rPr>
      </w:pPr>
      <w:r>
        <w:fldChar w:fldCharType="begin"/>
      </w:r>
      <w:r>
        <w:instrText xml:space="preserve"> HYPERLINK \l "_Toc445718912" </w:instrText>
      </w:r>
      <w:r>
        <w:fldChar w:fldCharType="separate"/>
      </w:r>
      <w:r>
        <w:rPr>
          <w:rStyle w:val="14"/>
          <w:rFonts w:hint="eastAsia"/>
          <w:sz w:val="32"/>
          <w:szCs w:val="32"/>
        </w:rPr>
        <w:t>（三）扩大舆论宣传，促进公众参与</w:t>
      </w:r>
      <w:r>
        <w:rPr>
          <w:sz w:val="32"/>
          <w:szCs w:val="32"/>
        </w:rPr>
        <w:tab/>
      </w:r>
      <w:r>
        <w:rPr>
          <w:sz w:val="32"/>
          <w:szCs w:val="32"/>
        </w:rPr>
        <w:fldChar w:fldCharType="begin"/>
      </w:r>
      <w:r>
        <w:rPr>
          <w:sz w:val="32"/>
          <w:szCs w:val="32"/>
        </w:rPr>
        <w:instrText xml:space="preserve"> PAGEREF _Toc445718912 \h </w:instrText>
      </w:r>
      <w:r>
        <w:rPr>
          <w:sz w:val="32"/>
          <w:szCs w:val="32"/>
        </w:rPr>
        <w:fldChar w:fldCharType="separate"/>
      </w:r>
      <w:r>
        <w:rPr>
          <w:sz w:val="32"/>
          <w:szCs w:val="32"/>
        </w:rPr>
        <w:t>42</w:t>
      </w:r>
      <w:r>
        <w:rPr>
          <w:sz w:val="32"/>
          <w:szCs w:val="32"/>
        </w:rPr>
        <w:fldChar w:fldCharType="end"/>
      </w:r>
      <w:r>
        <w:rPr>
          <w:sz w:val="32"/>
          <w:szCs w:val="32"/>
        </w:rPr>
        <w:fldChar w:fldCharType="end"/>
      </w:r>
    </w:p>
    <w:p>
      <w:pPr>
        <w:pStyle w:val="9"/>
        <w:tabs>
          <w:tab w:val="right" w:leader="dot" w:pos="8296"/>
        </w:tabs>
        <w:rPr>
          <w:rFonts w:asciiTheme="minorHAnsi" w:hAnsiTheme="minorHAnsi" w:eastAsiaTheme="minorEastAsia" w:cstheme="minorBidi"/>
          <w:szCs w:val="22"/>
        </w:rPr>
      </w:pPr>
      <w:r>
        <w:fldChar w:fldCharType="begin"/>
      </w:r>
      <w:r>
        <w:instrText xml:space="preserve"> HYPERLINK \l "_Toc445718913" </w:instrText>
      </w:r>
      <w:r>
        <w:fldChar w:fldCharType="separate"/>
      </w:r>
      <w:r>
        <w:rPr>
          <w:rStyle w:val="14"/>
          <w:rFonts w:hint="eastAsia"/>
          <w:sz w:val="32"/>
          <w:szCs w:val="32"/>
        </w:rPr>
        <w:t>（四）加强督导考核，完善问责制度</w:t>
      </w:r>
      <w:r>
        <w:rPr>
          <w:sz w:val="32"/>
          <w:szCs w:val="32"/>
        </w:rPr>
        <w:tab/>
      </w:r>
      <w:r>
        <w:rPr>
          <w:sz w:val="32"/>
          <w:szCs w:val="32"/>
        </w:rPr>
        <w:fldChar w:fldCharType="begin"/>
      </w:r>
      <w:r>
        <w:rPr>
          <w:sz w:val="32"/>
          <w:szCs w:val="32"/>
        </w:rPr>
        <w:instrText xml:space="preserve"> PAGEREF _Toc445718913 \h </w:instrText>
      </w:r>
      <w:r>
        <w:rPr>
          <w:sz w:val="32"/>
          <w:szCs w:val="32"/>
        </w:rPr>
        <w:fldChar w:fldCharType="separate"/>
      </w:r>
      <w:r>
        <w:rPr>
          <w:sz w:val="32"/>
          <w:szCs w:val="32"/>
        </w:rPr>
        <w:t>43</w:t>
      </w:r>
      <w:r>
        <w:rPr>
          <w:sz w:val="32"/>
          <w:szCs w:val="32"/>
        </w:rPr>
        <w:fldChar w:fldCharType="end"/>
      </w:r>
      <w:r>
        <w:rPr>
          <w:sz w:val="32"/>
          <w:szCs w:val="32"/>
        </w:rPr>
        <w:fldChar w:fldCharType="end"/>
      </w:r>
    </w:p>
    <w:p>
      <w:pPr>
        <w:ind w:firstLine="640" w:firstLineChars="200"/>
        <w:rPr>
          <w:rFonts w:ascii="仿宋" w:hAnsi="仿宋" w:eastAsia="仿宋"/>
          <w:sz w:val="32"/>
          <w:szCs w:val="32"/>
        </w:rPr>
      </w:pPr>
      <w:r>
        <w:rPr>
          <w:rFonts w:ascii="仿宋" w:hAnsi="仿宋" w:eastAsia="仿宋"/>
          <w:sz w:val="32"/>
          <w:szCs w:val="32"/>
        </w:rPr>
        <w:fldChar w:fldCharType="end"/>
      </w:r>
    </w:p>
    <w:p>
      <w:pPr>
        <w:ind w:firstLine="640" w:firstLineChars="200"/>
        <w:rPr>
          <w:rFonts w:ascii="仿宋" w:hAnsi="仿宋" w:eastAsia="仿宋"/>
          <w:sz w:val="32"/>
          <w:szCs w:val="32"/>
        </w:rPr>
        <w:sectPr>
          <w:pgSz w:w="11906" w:h="16838"/>
          <w:pgMar w:top="1440" w:right="1800" w:bottom="1440" w:left="1800" w:header="851" w:footer="992" w:gutter="0"/>
          <w:pgNumType w:fmt="numberInDash" w:start="1"/>
          <w:cols w:space="425" w:num="1"/>
          <w:docGrid w:type="lines" w:linePitch="312" w:charSpace="0"/>
        </w:sectPr>
      </w:pPr>
    </w:p>
    <w:p>
      <w:pPr>
        <w:pStyle w:val="2"/>
        <w:spacing w:beforeLines="100" w:afterLines="100" w:line="360" w:lineRule="auto"/>
        <w:jc w:val="center"/>
        <w:rPr>
          <w:rFonts w:ascii="宋体" w:hAnsi="宋体" w:cs="仿宋"/>
          <w:sz w:val="36"/>
          <w:szCs w:val="36"/>
        </w:rPr>
      </w:pPr>
      <w:bookmarkStart w:id="1" w:name="_Toc445718878"/>
      <w:r>
        <w:rPr>
          <w:rFonts w:hint="eastAsia" w:ascii="宋体" w:hAnsi="宋体" w:cs="仿宋"/>
          <w:sz w:val="36"/>
          <w:szCs w:val="36"/>
        </w:rPr>
        <w:t>前  言</w:t>
      </w:r>
      <w:bookmarkEnd w:id="0"/>
      <w:bookmarkEnd w:id="1"/>
    </w:p>
    <w:p>
      <w:pPr>
        <w:ind w:firstLine="640" w:firstLineChars="200"/>
        <w:rPr>
          <w:rFonts w:ascii="仿宋_GB2312" w:hAnsi="仿宋" w:eastAsia="仿宋_GB2312"/>
          <w:sz w:val="32"/>
          <w:szCs w:val="32"/>
        </w:rPr>
      </w:pPr>
      <w:r>
        <w:rPr>
          <w:rFonts w:hint="eastAsia" w:ascii="仿宋_GB2312" w:hAnsi="仿宋" w:eastAsia="仿宋_GB2312"/>
          <w:sz w:val="32"/>
          <w:szCs w:val="32"/>
        </w:rPr>
        <w:t>廊坊市地处京津两大都市之间、未来世界级大都市连绵区的核心节点，享有半小时进京下卫、一小时上天入海之地利，素有“联京津之廊、环渤海之坊”之美誉，区位优势得天独厚。市域全部属于京津冀协同发展中部核心功能区，承担着北京非首都功能的疏解和承接工作，作为为京津大都市发展提供生态空间保障的京津保中心区生态过渡地带，生态地位和功能十分重要。多年来，廊坊市大力实施生态走廊、生态森林等生态工程，建设田园生态城市、新型生态农村，森林覆盖率达到23.3%，实现了县县有污水处理厂，实施了PM</w:t>
      </w:r>
      <w:r>
        <w:rPr>
          <w:rFonts w:hint="eastAsia" w:ascii="仿宋_GB2312" w:hAnsi="仿宋" w:eastAsia="仿宋_GB2312"/>
          <w:sz w:val="32"/>
          <w:szCs w:val="32"/>
          <w:vertAlign w:val="subscript"/>
        </w:rPr>
        <w:t>2.5</w:t>
      </w:r>
      <w:r>
        <w:rPr>
          <w:rFonts w:hint="eastAsia" w:ascii="仿宋_GB2312" w:hAnsi="仿宋" w:eastAsia="仿宋_GB2312"/>
          <w:sz w:val="32"/>
          <w:szCs w:val="32"/>
        </w:rPr>
        <w:t>监测。但随着经济社会的快速发展，面临的生态环境压力日益加大，资源环境明显处于超负荷状态，特别是国家京津冀协同发展战略的实施，对全市生态环境承载能力提出了更高要求。加大生态修复与保护力度，扩大和优化生态空间，强化生态服务功能，是推进全市科学发展、绿色崛起的必然选择，是打造京津冀生态环境支撑区的迫切需要。按照市委、市政府工作部署，为更好地推进全市生态修复与保护工作，特编制《廊坊市山水林田湖生态修复规划》，作为组织实施生态修复与保护的行动指南。</w:t>
      </w:r>
    </w:p>
    <w:p>
      <w:pPr>
        <w:ind w:firstLine="640" w:firstLineChars="200"/>
        <w:rPr>
          <w:rFonts w:ascii="仿宋_GB2312" w:hAnsi="仿宋" w:eastAsia="仿宋_GB2312"/>
          <w:sz w:val="32"/>
          <w:szCs w:val="32"/>
        </w:rPr>
      </w:pPr>
      <w:r>
        <w:rPr>
          <w:rFonts w:hint="eastAsia" w:ascii="仿宋_GB2312" w:hAnsi="仿宋" w:eastAsia="仿宋_GB2312"/>
          <w:sz w:val="32"/>
          <w:szCs w:val="32"/>
        </w:rPr>
        <w:t>规划实施范围为廊坊市全部地域。</w:t>
      </w:r>
    </w:p>
    <w:p>
      <w:pPr>
        <w:ind w:firstLine="640" w:firstLineChars="200"/>
        <w:rPr>
          <w:rFonts w:ascii="仿宋_GB2312" w:hAnsi="仿宋" w:eastAsia="仿宋_GB2312"/>
          <w:sz w:val="32"/>
          <w:szCs w:val="32"/>
        </w:rPr>
      </w:pPr>
      <w:r>
        <w:rPr>
          <w:rFonts w:hint="eastAsia" w:ascii="仿宋_GB2312" w:hAnsi="仿宋" w:eastAsia="仿宋_GB2312"/>
          <w:sz w:val="32"/>
          <w:szCs w:val="32"/>
        </w:rPr>
        <w:t>规划期为2015～2020年，重大事项展望到2030年。</w:t>
      </w:r>
    </w:p>
    <w:p>
      <w:pPr>
        <w:pStyle w:val="2"/>
      </w:pPr>
      <w:bookmarkStart w:id="2" w:name="_Toc445718879"/>
      <w:r>
        <w:rPr>
          <w:rFonts w:hint="eastAsia"/>
        </w:rPr>
        <w:t>一、规划基础</w:t>
      </w:r>
      <w:bookmarkEnd w:id="2"/>
    </w:p>
    <w:p>
      <w:pPr>
        <w:pStyle w:val="3"/>
      </w:pPr>
      <w:bookmarkStart w:id="3" w:name="_Toc445718880"/>
      <w:r>
        <w:rPr>
          <w:rFonts w:hint="eastAsia"/>
        </w:rPr>
        <w:t>（一）基础条件</w:t>
      </w:r>
      <w:bookmarkEnd w:id="3"/>
    </w:p>
    <w:p>
      <w:pPr>
        <w:ind w:firstLine="640" w:firstLineChars="200"/>
        <w:rPr>
          <w:rFonts w:ascii="仿宋_GB2312" w:hAnsi="仿宋" w:eastAsia="仿宋_GB2312"/>
          <w:sz w:val="32"/>
          <w:szCs w:val="32"/>
        </w:rPr>
      </w:pPr>
      <w:r>
        <w:rPr>
          <w:rFonts w:hint="eastAsia" w:ascii="仿宋_GB2312" w:hAnsi="仿宋" w:eastAsia="仿宋_GB2312"/>
          <w:sz w:val="32"/>
          <w:szCs w:val="32"/>
        </w:rPr>
        <w:t>廊坊市位于京津两大城市之间，环渤海腹地，享有“京津走廊明珠”美誉。现辖广阳、安次两个区，三河、霸州两个县级市，大厂、香河、永清、固安、文安、大城六个县和廊坊国家级经济技术开发区，幅员面积6429平方公里。截至2014年末，廊坊市户籍人口为450.4万人。全市属暖温带大陆性季风气候，境内地貌差异明显，缓岗、洼地、沙丘、小型冲积堆等遍布，呈现大平小不平状态。</w:t>
      </w:r>
    </w:p>
    <w:p>
      <w:pPr>
        <w:ind w:firstLine="640" w:firstLineChars="200"/>
        <w:rPr>
          <w:rFonts w:ascii="仿宋_GB2312" w:hAnsi="仿宋" w:eastAsia="仿宋_GB2312"/>
          <w:sz w:val="32"/>
          <w:szCs w:val="32"/>
        </w:rPr>
      </w:pPr>
      <w:r>
        <w:rPr>
          <w:rFonts w:hint="eastAsia" w:ascii="仿宋_GB2312" w:hAnsi="仿宋" w:eastAsia="仿宋_GB2312"/>
          <w:sz w:val="32"/>
          <w:szCs w:val="32"/>
        </w:rPr>
        <w:t>廊坊市主城区距北京城区40公里、距天津城区50公里，全市10个县（市、区）中有6个与北京接壤、7个与天津接壤，境内6条铁路、7条高速公路和5条国家级公路纵横交错，56条道路通达北京、52条连接天津，是中国铁路、公路密度最大的地区之一。</w:t>
      </w:r>
    </w:p>
    <w:p>
      <w:pPr>
        <w:ind w:firstLine="640" w:firstLineChars="200"/>
        <w:rPr>
          <w:rFonts w:ascii="仿宋_GB2312" w:hAnsi="仿宋" w:eastAsia="仿宋_GB2312"/>
          <w:sz w:val="32"/>
          <w:szCs w:val="32"/>
        </w:rPr>
      </w:pPr>
      <w:r>
        <w:rPr>
          <w:rFonts w:hint="eastAsia" w:ascii="仿宋_GB2312" w:hAnsi="仿宋" w:eastAsia="仿宋_GB2312"/>
          <w:sz w:val="32"/>
          <w:szCs w:val="32"/>
        </w:rPr>
        <w:t>多年来，廊坊立足京津都市连绵区大背景中谋划自身定位，坚持“思路同频、规划同筹、产业同兴、交通同网、城乡同体、文化同台”，全力与京津同城发展。廊坊市主城区进入北京主城区通勤范围，开通了至北京首都国际机场的客运专线，10个县（市、区）中有9个开通了北京城市公交。廊坊已经成为京津城市功能疏解的新空间、产业要素转移的新基地。</w:t>
      </w:r>
    </w:p>
    <w:p>
      <w:pPr>
        <w:ind w:firstLine="640" w:firstLineChars="200"/>
        <w:rPr>
          <w:rFonts w:ascii="仿宋_GB2312" w:hAnsi="仿宋" w:eastAsia="仿宋_GB2312"/>
          <w:sz w:val="32"/>
          <w:szCs w:val="32"/>
        </w:rPr>
      </w:pPr>
      <w:r>
        <w:rPr>
          <w:rFonts w:hint="eastAsia" w:ascii="仿宋_GB2312" w:hAnsi="仿宋" w:eastAsia="仿宋_GB2312"/>
          <w:sz w:val="32"/>
          <w:szCs w:val="32"/>
        </w:rPr>
        <w:t>廊坊市坚持生态优先发展理念，开展“八大攻坚战”、“蓝天行动”和淘汰产能拆除集中行动，圆满完成APEC空气质量保障任务。2014年，全市造林3.8万公顷，市区新增绿地113万平方米，新增农业高效节水面积1万公顷，开展了生态农业示范推广。生态修复全面实施，编制完成廊南森林湿地生态走廊建设规划，永定河、潮白河等河流综合治理加快推进，胜芳和文安湿地公园建设全面启动，潮白河大运河湿地公园列入国家级湿地公园试点。</w:t>
      </w:r>
    </w:p>
    <w:p>
      <w:pPr>
        <w:pStyle w:val="3"/>
      </w:pPr>
      <w:bookmarkStart w:id="4" w:name="_Toc445718881"/>
      <w:r>
        <w:rPr>
          <w:rFonts w:hint="eastAsia"/>
        </w:rPr>
        <w:t>（二）面临形势</w:t>
      </w:r>
      <w:bookmarkEnd w:id="4"/>
    </w:p>
    <w:p>
      <w:pPr>
        <w:ind w:firstLine="640" w:firstLineChars="200"/>
        <w:rPr>
          <w:rFonts w:ascii="仿宋_GB2312" w:hAnsi="仿宋" w:eastAsia="仿宋_GB2312"/>
          <w:sz w:val="32"/>
          <w:szCs w:val="32"/>
        </w:rPr>
      </w:pPr>
      <w:r>
        <w:rPr>
          <w:rFonts w:hint="eastAsia" w:ascii="仿宋_GB2312" w:hAnsi="仿宋" w:eastAsia="仿宋_GB2312"/>
          <w:sz w:val="32"/>
          <w:szCs w:val="32"/>
        </w:rPr>
        <w:t>廊坊市是全省资源环境与发展矛盾最突出的地区之一，资源环境问题已成为制约区域可持续发展的瓶颈。中共中央、国务院关于加快推进生态文明建设的意见和国家京津冀协同发展战略的实施为全市环境治理与生态修复指明了方向。廊坊市地处京津走廊中心节点，生态安全保障地位尤为突出，生态修复面临的压力和挑战也最大。区域生态环境的明显改善，很大程度上取决于廊坊市生态环境修复工作的有效开展和与京津毗邻地区协同共建机制的顺畅运转。</w:t>
      </w:r>
    </w:p>
    <w:p>
      <w:pPr>
        <w:ind w:firstLine="640" w:firstLineChars="200"/>
        <w:rPr>
          <w:rFonts w:ascii="仿宋_GB2312" w:hAnsi="仿宋" w:eastAsia="仿宋_GB2312"/>
          <w:sz w:val="32"/>
          <w:szCs w:val="32"/>
        </w:rPr>
      </w:pPr>
      <w:r>
        <w:rPr>
          <w:rFonts w:hint="eastAsia" w:ascii="仿宋_GB2312" w:hAnsi="仿宋" w:eastAsia="仿宋_GB2312"/>
          <w:sz w:val="32"/>
          <w:szCs w:val="32"/>
        </w:rPr>
        <w:t>当前，廊坊市正处于加速转型、加快发展的关键时期，如何兼顾稳增长、调结构、治污染，实现与京津一体化均衡发展，面临的任务十分艰巨；廊坊市城镇规模层级低，与京津公共服务差距过大，如何打造绿美廊坊，为北京非首都功能的顺利疏解做好保障，协同京津共同构建世界级城市群，面临艰巨挑战；全市山、水、林、田、湖生态环境的现状与不断提高人民群众生活水平、全面建成小康社会的要求，还有很大差距，生态环境质量在社会经济发展和群众生活幸福指数中的地位日益重要，生态环境问题已成为重要的民生问题。</w:t>
      </w:r>
    </w:p>
    <w:p>
      <w:pPr>
        <w:pStyle w:val="3"/>
      </w:pPr>
      <w:bookmarkStart w:id="5" w:name="_Toc445718882"/>
      <w:r>
        <w:rPr>
          <w:rFonts w:hint="eastAsia"/>
        </w:rPr>
        <w:t>（三）主要问题</w:t>
      </w:r>
      <w:bookmarkEnd w:id="5"/>
    </w:p>
    <w:p>
      <w:pPr>
        <w:ind w:firstLine="640" w:firstLineChars="200"/>
        <w:rPr>
          <w:rFonts w:ascii="仿宋_GB2312" w:hAnsi="仿宋" w:eastAsia="仿宋_GB2312"/>
          <w:sz w:val="32"/>
          <w:szCs w:val="32"/>
        </w:rPr>
      </w:pPr>
      <w:r>
        <w:rPr>
          <w:rFonts w:hint="eastAsia" w:ascii="仿宋_GB2312" w:hAnsi="仿宋" w:eastAsia="仿宋_GB2312"/>
          <w:sz w:val="32"/>
          <w:szCs w:val="32"/>
        </w:rPr>
        <w:t>廊坊市生态环境脆弱，长期积累的生态环境问题尚未根本解决，是全市可持续发展的重大制约，主要表现在：</w:t>
      </w:r>
    </w:p>
    <w:p>
      <w:pPr>
        <w:ind w:firstLine="643" w:firstLineChars="200"/>
        <w:rPr>
          <w:rFonts w:ascii="仿宋_GB2312" w:hAnsi="仿宋" w:eastAsia="仿宋_GB2312"/>
          <w:b/>
          <w:sz w:val="32"/>
          <w:szCs w:val="32"/>
        </w:rPr>
      </w:pPr>
      <w:r>
        <w:rPr>
          <w:rFonts w:hint="eastAsia" w:ascii="仿宋_GB2312" w:hAnsi="仿宋" w:eastAsia="仿宋_GB2312"/>
          <w:b/>
          <w:sz w:val="32"/>
          <w:szCs w:val="32"/>
        </w:rPr>
        <w:t>1、水资源短缺，水环境污染较重</w:t>
      </w:r>
    </w:p>
    <w:p>
      <w:pPr>
        <w:ind w:firstLine="640" w:firstLineChars="200"/>
        <w:rPr>
          <w:rFonts w:ascii="仿宋_GB2312" w:hAnsi="仿宋" w:eastAsia="仿宋_GB2312"/>
          <w:sz w:val="32"/>
          <w:szCs w:val="32"/>
        </w:rPr>
      </w:pPr>
      <w:r>
        <w:rPr>
          <w:rFonts w:hint="eastAsia" w:ascii="仿宋_GB2312" w:hAnsi="仿宋" w:eastAsia="仿宋_GB2312"/>
          <w:sz w:val="32"/>
          <w:szCs w:val="32"/>
        </w:rPr>
        <w:t>廊坊市人均水资源占有量184立方米，不足河北省人均水平的五分之三，远低于人均500立方米“极度缺水”的国际标准。地下水超采严重，其中浅层地下水超采区面积达</w:t>
      </w:r>
      <w:r>
        <w:rPr>
          <w:rFonts w:ascii="仿宋_GB2312" w:hAnsi="仿宋" w:eastAsia="仿宋_GB2312"/>
          <w:sz w:val="32"/>
          <w:szCs w:val="32"/>
        </w:rPr>
        <w:t>2391.1</w:t>
      </w:r>
      <w:r>
        <w:rPr>
          <w:rFonts w:hint="eastAsia" w:ascii="仿宋_GB2312" w:hAnsi="仿宋" w:eastAsia="仿宋_GB2312"/>
          <w:sz w:val="32"/>
          <w:szCs w:val="32"/>
        </w:rPr>
        <w:t>平方千米，占国土面积的37%，深层超采区面积达</w:t>
      </w:r>
      <w:r>
        <w:rPr>
          <w:rFonts w:ascii="仿宋_GB2312" w:hAnsi="仿宋" w:eastAsia="仿宋_GB2312"/>
          <w:sz w:val="32"/>
          <w:szCs w:val="32"/>
        </w:rPr>
        <w:t>3633.6</w:t>
      </w:r>
      <w:r>
        <w:rPr>
          <w:rFonts w:hint="eastAsia" w:ascii="仿宋_GB2312" w:hAnsi="仿宋" w:eastAsia="仿宋_GB2312"/>
          <w:sz w:val="32"/>
          <w:szCs w:val="32"/>
        </w:rPr>
        <w:t>平方千米，占国土面积的57%。城乡污水处理率较低，深度处理率甚微，河流水体污染严重，全市Ⅲ类和好于Ⅲ类的水质断面比例为0，劣Ⅴ类水质比例高达</w:t>
      </w:r>
      <w:r>
        <w:rPr>
          <w:rFonts w:ascii="仿宋_GB2312" w:hAnsi="仿宋" w:eastAsia="仿宋_GB2312"/>
          <w:sz w:val="32"/>
          <w:szCs w:val="32"/>
        </w:rPr>
        <w:t>100</w:t>
      </w:r>
      <w:r>
        <w:rPr>
          <w:rFonts w:hint="eastAsia" w:ascii="仿宋_GB2312" w:hAnsi="仿宋" w:eastAsia="仿宋_GB2312"/>
          <w:sz w:val="32"/>
          <w:szCs w:val="32"/>
        </w:rPr>
        <w:t>%。</w:t>
      </w:r>
    </w:p>
    <w:p>
      <w:pPr>
        <w:ind w:firstLine="643" w:firstLineChars="200"/>
        <w:rPr>
          <w:rFonts w:ascii="仿宋_GB2312" w:hAnsi="仿宋" w:eastAsia="仿宋_GB2312"/>
          <w:b/>
          <w:sz w:val="32"/>
          <w:szCs w:val="32"/>
        </w:rPr>
      </w:pPr>
      <w:r>
        <w:rPr>
          <w:rFonts w:hint="eastAsia" w:ascii="仿宋_GB2312" w:hAnsi="仿宋" w:eastAsia="仿宋_GB2312"/>
          <w:b/>
          <w:sz w:val="32"/>
          <w:szCs w:val="32"/>
        </w:rPr>
        <w:t>2、森林资源缺乏，布局不尽合理</w:t>
      </w:r>
    </w:p>
    <w:p>
      <w:pPr>
        <w:ind w:firstLine="640" w:firstLineChars="200"/>
        <w:rPr>
          <w:rFonts w:ascii="仿宋_GB2312" w:hAnsi="仿宋" w:eastAsia="仿宋_GB2312"/>
          <w:sz w:val="32"/>
          <w:szCs w:val="32"/>
        </w:rPr>
      </w:pPr>
      <w:r>
        <w:rPr>
          <w:rFonts w:hint="eastAsia" w:ascii="仿宋_GB2312" w:hAnsi="仿宋" w:eastAsia="仿宋_GB2312"/>
          <w:sz w:val="32"/>
          <w:szCs w:val="32"/>
        </w:rPr>
        <w:t>2014年底，廊坊市有林地面积为15万公顷，森林覆盖率为23.3%，仍未达到国家森林城市标准；廊道绿化尚未完善，仍有一些河、渠、路、堤未得到绿化，村庄绿化存在绿量不足、档次不高、亮点不突出等问题，仍有近三成的农田未建防护林网，已建林网标准不高；林种和树种不合理，经济林、景观林较少，林分结构单一，森林经营抚育机制尚不健全。</w:t>
      </w:r>
    </w:p>
    <w:p>
      <w:pPr>
        <w:ind w:firstLine="643" w:firstLineChars="200"/>
        <w:rPr>
          <w:rFonts w:ascii="仿宋_GB2312" w:hAnsi="仿宋" w:eastAsia="仿宋_GB2312"/>
          <w:b/>
          <w:sz w:val="32"/>
          <w:szCs w:val="32"/>
        </w:rPr>
      </w:pPr>
      <w:r>
        <w:rPr>
          <w:rFonts w:hint="eastAsia" w:ascii="仿宋_GB2312" w:hAnsi="仿宋" w:eastAsia="仿宋_GB2312"/>
          <w:b/>
          <w:sz w:val="32"/>
          <w:szCs w:val="32"/>
        </w:rPr>
        <w:t>3、湿地极度萎缩，功能退化严重</w:t>
      </w:r>
    </w:p>
    <w:p>
      <w:pPr>
        <w:ind w:firstLine="640" w:firstLineChars="200"/>
        <w:rPr>
          <w:rFonts w:ascii="仿宋_GB2312" w:hAnsi="仿宋" w:eastAsia="仿宋_GB2312"/>
          <w:sz w:val="32"/>
          <w:szCs w:val="32"/>
        </w:rPr>
      </w:pPr>
      <w:r>
        <w:rPr>
          <w:rFonts w:hint="eastAsia" w:ascii="仿宋_GB2312" w:hAnsi="仿宋" w:eastAsia="仿宋_GB2312"/>
          <w:sz w:val="32"/>
          <w:szCs w:val="32"/>
        </w:rPr>
        <w:t>文安洼、东淀、贾口洼等湿地基本干涸，降解污染、调节气候、维护生物多样性等生态功能基本丧失，湿地植被破坏；香河、市区等地湿地建设与保护不足，水体质量较差；农村坑塘面积大幅减少，全市湿地生态功能重建任务艰巨。</w:t>
      </w:r>
    </w:p>
    <w:p>
      <w:pPr>
        <w:ind w:firstLine="643" w:firstLineChars="200"/>
        <w:rPr>
          <w:rFonts w:ascii="仿宋_GB2312" w:hAnsi="仿宋" w:eastAsia="仿宋_GB2312"/>
          <w:b/>
          <w:sz w:val="32"/>
          <w:szCs w:val="32"/>
        </w:rPr>
      </w:pPr>
      <w:r>
        <w:rPr>
          <w:rFonts w:hint="eastAsia" w:ascii="仿宋_GB2312" w:hAnsi="仿宋" w:eastAsia="仿宋_GB2312"/>
          <w:b/>
          <w:sz w:val="32"/>
          <w:szCs w:val="32"/>
        </w:rPr>
        <w:t>4、农田污染显现，农业用水低效</w:t>
      </w:r>
    </w:p>
    <w:p>
      <w:pPr>
        <w:ind w:firstLine="640" w:firstLineChars="200"/>
        <w:rPr>
          <w:rFonts w:ascii="仿宋_GB2312" w:hAnsi="仿宋" w:eastAsia="仿宋_GB2312"/>
          <w:sz w:val="32"/>
          <w:szCs w:val="32"/>
        </w:rPr>
      </w:pPr>
      <w:r>
        <w:rPr>
          <w:rFonts w:hint="eastAsia" w:ascii="仿宋_GB2312" w:hAnsi="仿宋" w:eastAsia="仿宋_GB2312"/>
          <w:sz w:val="32"/>
          <w:szCs w:val="32"/>
        </w:rPr>
        <w:t>全市有2.1万公顷农田位于工业三废和城镇垃圾污水等外源污染风险区，重金属污染物向农田转移；化肥、农药、地膜等化学投入品和畜禽粪便等使用和处理不足，农业面源污染加重；农业施肥结构不合理，偏重化肥，轻视有机肥，农田养分失衡；农业用水低效，农田水利基础设施不健全，水资源利用效率低。</w:t>
      </w:r>
    </w:p>
    <w:p>
      <w:pPr>
        <w:ind w:firstLine="643" w:firstLineChars="200"/>
        <w:rPr>
          <w:rFonts w:ascii="仿宋_GB2312" w:hAnsi="仿宋" w:eastAsia="仿宋_GB2312"/>
          <w:b/>
          <w:sz w:val="32"/>
          <w:szCs w:val="32"/>
        </w:rPr>
      </w:pPr>
      <w:r>
        <w:rPr>
          <w:rFonts w:hint="eastAsia" w:ascii="仿宋_GB2312" w:hAnsi="仿宋" w:eastAsia="仿宋_GB2312"/>
          <w:b/>
          <w:sz w:val="32"/>
          <w:szCs w:val="32"/>
        </w:rPr>
        <w:t>5、矿山环境破坏严重，生态弱化</w:t>
      </w:r>
    </w:p>
    <w:p>
      <w:pPr>
        <w:ind w:firstLine="640" w:firstLineChars="200"/>
        <w:rPr>
          <w:rFonts w:ascii="仿宋_GB2312" w:hAnsi="仿宋" w:eastAsia="仿宋_GB2312"/>
          <w:sz w:val="32"/>
          <w:szCs w:val="32"/>
        </w:rPr>
      </w:pPr>
      <w:r>
        <w:rPr>
          <w:rFonts w:hint="eastAsia" w:ascii="仿宋_GB2312" w:hAnsi="仿宋" w:eastAsia="仿宋_GB2312"/>
          <w:sz w:val="32"/>
          <w:szCs w:val="32"/>
        </w:rPr>
        <w:t>矿山无序开采问题较重，废弃采坑、岩石裸露、地面塌陷等环境问题突出，地形地貌景观破坏，存在崩塌、滑坡等次生地质灾害隐患，地质环境问题严重区域达16.64平方公里，显著影响到山区及周边生态环境。</w:t>
      </w:r>
    </w:p>
    <w:p>
      <w:pPr>
        <w:pStyle w:val="2"/>
      </w:pPr>
      <w:bookmarkStart w:id="6" w:name="_Toc445718883"/>
      <w:r>
        <w:rPr>
          <w:rFonts w:hint="eastAsia"/>
        </w:rPr>
        <w:t>二、总体要求</w:t>
      </w:r>
      <w:bookmarkEnd w:id="6"/>
    </w:p>
    <w:p>
      <w:pPr>
        <w:pStyle w:val="3"/>
      </w:pPr>
      <w:bookmarkStart w:id="7" w:name="_Toc445718884"/>
      <w:r>
        <w:rPr>
          <w:rFonts w:hint="eastAsia"/>
        </w:rPr>
        <w:t>（一）总体思路</w:t>
      </w:r>
      <w:bookmarkEnd w:id="7"/>
    </w:p>
    <w:p>
      <w:pPr>
        <w:ind w:firstLine="640" w:firstLineChars="200"/>
        <w:rPr>
          <w:rFonts w:ascii="仿宋_GB2312" w:hAnsi="楷体_GB2312" w:eastAsia="仿宋_GB2312" w:cs="楷体_GB2312"/>
          <w:bCs/>
          <w:sz w:val="32"/>
          <w:szCs w:val="32"/>
        </w:rPr>
      </w:pPr>
      <w:r>
        <w:rPr>
          <w:rFonts w:hint="eastAsia" w:ascii="仿宋_GB2312" w:hAnsi="楷体_GB2312" w:eastAsia="仿宋_GB2312" w:cs="楷体_GB2312"/>
          <w:bCs/>
          <w:sz w:val="32"/>
          <w:szCs w:val="32"/>
        </w:rPr>
        <w:t>全面贯彻党的十八大和十八届三中、四中、五中、六中全会精神，认真落实习近平总书记系列重要讲话精神，按照省委九届二次全会的部署，牢固树立创新、协调、绿色、开放、共享的理念，紧紧抓住京津冀协同发展重大历史机遇，以生态文明建设为引领，以提升生态、资源和环境承载力为目标，坚持山水林田湖生命共同体的整体思维，着力扩大和优化生态空间，加快实施一批重大生态修复工程，创新生态保护与修复体制机制，努力建设绿美廊坊，为打造京津冀生态环境支撑区提供有力保障。</w:t>
      </w:r>
    </w:p>
    <w:p>
      <w:pPr>
        <w:pStyle w:val="3"/>
      </w:pPr>
      <w:bookmarkStart w:id="8" w:name="_Toc445718885"/>
      <w:r>
        <w:rPr>
          <w:rFonts w:hint="eastAsia"/>
        </w:rPr>
        <w:t>（二）基本原则</w:t>
      </w:r>
      <w:bookmarkEnd w:id="8"/>
    </w:p>
    <w:p>
      <w:pPr>
        <w:ind w:firstLine="640" w:firstLineChars="200"/>
        <w:rPr>
          <w:rFonts w:ascii="仿宋_GB2312" w:hAnsi="楷体_GB2312" w:eastAsia="仿宋_GB2312" w:cs="楷体_GB2312"/>
          <w:bCs/>
          <w:sz w:val="32"/>
          <w:szCs w:val="32"/>
        </w:rPr>
      </w:pPr>
      <w:r>
        <w:rPr>
          <w:rFonts w:hint="eastAsia" w:ascii="仿宋_GB2312" w:hAnsi="楷体_GB2312" w:eastAsia="仿宋_GB2312" w:cs="楷体_GB2312"/>
          <w:bCs/>
          <w:sz w:val="32"/>
          <w:szCs w:val="32"/>
        </w:rPr>
        <w:t>1、全面规划，重点突破</w:t>
      </w:r>
    </w:p>
    <w:p>
      <w:pPr>
        <w:ind w:firstLine="640" w:firstLineChars="200"/>
        <w:rPr>
          <w:rFonts w:ascii="仿宋_GB2312" w:hAnsi="楷体_GB2312" w:eastAsia="仿宋_GB2312" w:cs="楷体_GB2312"/>
          <w:bCs/>
          <w:sz w:val="32"/>
          <w:szCs w:val="32"/>
        </w:rPr>
      </w:pPr>
      <w:r>
        <w:rPr>
          <w:rFonts w:hint="eastAsia" w:ascii="仿宋_GB2312" w:hAnsi="楷体_GB2312" w:eastAsia="仿宋_GB2312" w:cs="楷体_GB2312"/>
          <w:bCs/>
          <w:sz w:val="32"/>
          <w:szCs w:val="32"/>
        </w:rPr>
        <w:t>针对全市山水林田湖存在的各类生态问题，全方位、多层次、宽领域开展生态修复，加强顶层设计，整合部门举措，形成工作合力，统筹协调推进；突出重点区域、重点生态功能区，自然恢复与人工修复相结合，生物措施与工程措施相结合，各种措施合理配置，发挥综合治理效益。</w:t>
      </w:r>
    </w:p>
    <w:p>
      <w:pPr>
        <w:ind w:firstLine="640" w:firstLineChars="200"/>
        <w:rPr>
          <w:rFonts w:ascii="仿宋_GB2312" w:hAnsi="楷体_GB2312" w:eastAsia="仿宋_GB2312" w:cs="楷体_GB2312"/>
          <w:bCs/>
          <w:sz w:val="32"/>
          <w:szCs w:val="32"/>
        </w:rPr>
      </w:pPr>
      <w:r>
        <w:rPr>
          <w:rFonts w:hint="eastAsia" w:ascii="仿宋_GB2312" w:hAnsi="楷体_GB2312" w:eastAsia="仿宋_GB2312" w:cs="楷体_GB2312"/>
          <w:bCs/>
          <w:sz w:val="32"/>
          <w:szCs w:val="32"/>
        </w:rPr>
        <w:t>2、整体修复，标本兼治</w:t>
      </w:r>
    </w:p>
    <w:p>
      <w:pPr>
        <w:ind w:firstLine="640" w:firstLineChars="200"/>
        <w:rPr>
          <w:rFonts w:ascii="仿宋_GB2312" w:hAnsi="楷体_GB2312" w:eastAsia="仿宋_GB2312" w:cs="楷体_GB2312"/>
          <w:bCs/>
          <w:sz w:val="32"/>
          <w:szCs w:val="32"/>
        </w:rPr>
      </w:pPr>
      <w:r>
        <w:rPr>
          <w:rFonts w:hint="eastAsia" w:ascii="仿宋_GB2312" w:hAnsi="楷体_GB2312" w:eastAsia="仿宋_GB2312" w:cs="楷体_GB2312"/>
          <w:bCs/>
          <w:sz w:val="32"/>
          <w:szCs w:val="32"/>
        </w:rPr>
        <w:t>从“山水林田湖”是一个生命共同体的理念出发，注重生态修复的整体性、系统性、协同性，有计划、有步骤、分阶段、分层次推进，既立足当前治标，优先解决人民群众关心和生态建设的最紧迫问题，又着眼长远治本，探求科学发展、绿色崛起之路。</w:t>
      </w:r>
    </w:p>
    <w:p>
      <w:pPr>
        <w:ind w:firstLine="640" w:firstLineChars="200"/>
        <w:rPr>
          <w:rFonts w:ascii="仿宋_GB2312" w:hAnsi="楷体_GB2312" w:eastAsia="仿宋_GB2312" w:cs="楷体_GB2312"/>
          <w:bCs/>
          <w:sz w:val="32"/>
          <w:szCs w:val="32"/>
        </w:rPr>
      </w:pPr>
      <w:r>
        <w:rPr>
          <w:rFonts w:hint="eastAsia" w:ascii="仿宋_GB2312" w:hAnsi="楷体_GB2312" w:eastAsia="仿宋_GB2312" w:cs="楷体_GB2312"/>
          <w:bCs/>
          <w:sz w:val="32"/>
          <w:szCs w:val="32"/>
        </w:rPr>
        <w:t xml:space="preserve">3、协同共建，科技支撑 </w:t>
      </w:r>
    </w:p>
    <w:p>
      <w:pPr>
        <w:ind w:firstLine="640" w:firstLineChars="200"/>
        <w:rPr>
          <w:rFonts w:ascii="仿宋_GB2312" w:hAnsi="楷体_GB2312" w:eastAsia="仿宋_GB2312" w:cs="楷体_GB2312"/>
          <w:bCs/>
          <w:sz w:val="32"/>
          <w:szCs w:val="32"/>
        </w:rPr>
      </w:pPr>
      <w:r>
        <w:rPr>
          <w:rFonts w:hint="eastAsia" w:ascii="仿宋_GB2312" w:hAnsi="楷体_GB2312" w:eastAsia="仿宋_GB2312" w:cs="楷体_GB2312"/>
          <w:bCs/>
          <w:sz w:val="32"/>
          <w:szCs w:val="32"/>
        </w:rPr>
        <w:t>建立完善跨市域生态环境保护协作机制，加强对接、沟通与交流，实现信息与数据共享、风险与利益同担。尊重科学规律，注重科技创新，加强高新技术应用和适用技术推广，强化科技服务保障，提高生态修复和保护成效。</w:t>
      </w:r>
    </w:p>
    <w:p>
      <w:pPr>
        <w:ind w:firstLine="640" w:firstLineChars="200"/>
        <w:rPr>
          <w:rFonts w:ascii="仿宋_GB2312" w:hAnsi="楷体_GB2312" w:eastAsia="仿宋_GB2312" w:cs="楷体_GB2312"/>
          <w:bCs/>
          <w:sz w:val="32"/>
          <w:szCs w:val="32"/>
        </w:rPr>
      </w:pPr>
      <w:r>
        <w:rPr>
          <w:rFonts w:hint="eastAsia" w:ascii="仿宋_GB2312" w:hAnsi="楷体_GB2312" w:eastAsia="仿宋_GB2312" w:cs="楷体_GB2312"/>
          <w:bCs/>
          <w:sz w:val="32"/>
          <w:szCs w:val="32"/>
        </w:rPr>
        <w:t>4、机制创新，法制保障</w:t>
      </w:r>
    </w:p>
    <w:p>
      <w:pPr>
        <w:ind w:firstLine="640" w:firstLineChars="200"/>
        <w:rPr>
          <w:rFonts w:ascii="仿宋_GB2312" w:hAnsi="楷体_GB2312" w:eastAsia="仿宋_GB2312" w:cs="楷体_GB2312"/>
          <w:bCs/>
          <w:sz w:val="32"/>
          <w:szCs w:val="32"/>
        </w:rPr>
      </w:pPr>
      <w:r>
        <w:rPr>
          <w:rFonts w:hint="eastAsia" w:ascii="仿宋_GB2312" w:hAnsi="楷体_GB2312" w:eastAsia="仿宋_GB2312" w:cs="楷体_GB2312"/>
          <w:bCs/>
          <w:sz w:val="32"/>
          <w:szCs w:val="32"/>
        </w:rPr>
        <w:t>坚持以改革精神实施生态修复，注重体制机制创新，构建职责明确、协力推进、务求实效的工作格局，建立覆盖山水林田湖全部生态空间的用途管制制度，加大生态补偿工作力度，建立健全生态保护与修复法规体系，强化执法监督，保障生态修复各项举措的贯彻落实。</w:t>
      </w:r>
    </w:p>
    <w:p>
      <w:pPr>
        <w:ind w:firstLine="640" w:firstLineChars="200"/>
        <w:rPr>
          <w:rFonts w:ascii="仿宋_GB2312" w:hAnsi="楷体_GB2312" w:eastAsia="仿宋_GB2312" w:cs="楷体_GB2312"/>
          <w:bCs/>
          <w:sz w:val="32"/>
          <w:szCs w:val="32"/>
        </w:rPr>
      </w:pPr>
      <w:r>
        <w:rPr>
          <w:rFonts w:hint="eastAsia" w:ascii="仿宋_GB2312" w:hAnsi="楷体_GB2312" w:eastAsia="仿宋_GB2312" w:cs="楷体_GB2312"/>
          <w:bCs/>
          <w:sz w:val="32"/>
          <w:szCs w:val="32"/>
        </w:rPr>
        <w:t>5、政策引导，全员参与</w:t>
      </w:r>
    </w:p>
    <w:p>
      <w:pPr>
        <w:ind w:firstLine="640" w:firstLineChars="200"/>
        <w:rPr>
          <w:rFonts w:ascii="仿宋_GB2312" w:hAnsi="楷体_GB2312" w:eastAsia="仿宋_GB2312" w:cs="楷体_GB2312"/>
          <w:bCs/>
          <w:sz w:val="32"/>
          <w:szCs w:val="32"/>
        </w:rPr>
      </w:pPr>
      <w:r>
        <w:rPr>
          <w:rFonts w:hint="eastAsia" w:ascii="仿宋_GB2312" w:hAnsi="楷体_GB2312" w:eastAsia="仿宋_GB2312" w:cs="楷体_GB2312"/>
          <w:bCs/>
          <w:sz w:val="32"/>
          <w:szCs w:val="32"/>
        </w:rPr>
        <w:t>坚持生态、经济和社会效益相统一，积极发挥政策的激励、约束与引导作用，更加注重发挥市场机制在资源配置中的决定性作用，综合运用行政、经济、法律等手段，充分调动各类市场主体的积极性，鼓励与支持社会各方力量参与生态修复与保护。</w:t>
      </w:r>
    </w:p>
    <w:p>
      <w:pPr>
        <w:pStyle w:val="3"/>
      </w:pPr>
      <w:bookmarkStart w:id="9" w:name="_Toc445718886"/>
      <w:r>
        <w:rPr>
          <w:rFonts w:hint="eastAsia"/>
        </w:rPr>
        <w:t>（三）规划目标</w:t>
      </w:r>
      <w:bookmarkEnd w:id="9"/>
    </w:p>
    <w:p>
      <w:pPr>
        <w:ind w:firstLine="640" w:firstLineChars="200"/>
        <w:rPr>
          <w:rFonts w:ascii="仿宋_GB2312" w:hAnsi="楷体_GB2312" w:eastAsia="仿宋_GB2312" w:cs="楷体_GB2312"/>
          <w:bCs/>
          <w:sz w:val="32"/>
          <w:szCs w:val="32"/>
        </w:rPr>
      </w:pPr>
      <w:r>
        <w:rPr>
          <w:rFonts w:hint="eastAsia" w:ascii="仿宋_GB2312" w:hAnsi="楷体_GB2312" w:eastAsia="仿宋_GB2312" w:cs="楷体_GB2312"/>
          <w:bCs/>
          <w:sz w:val="32"/>
          <w:szCs w:val="32"/>
        </w:rPr>
        <w:t>到2017年，资源环境生态红线基本确立，重点生态修复工程全面实施；水环境质量有所好转，重要水功能区达标率达到70%，地下水超采得到有效遏制，饮用水安全保障水平进一步提升，现代生态水网基本完善；全面达到国家森林城市建设标准，湿地面积和生态功能显著恢复；矿山环境有效改善，初步建立起跨市域的生态环保协作机制。</w:t>
      </w:r>
    </w:p>
    <w:p>
      <w:pPr>
        <w:ind w:firstLine="640" w:firstLineChars="200"/>
        <w:rPr>
          <w:rFonts w:ascii="仿宋_GB2312" w:hAnsi="楷体_GB2312" w:eastAsia="仿宋_GB2312" w:cs="楷体_GB2312"/>
          <w:bCs/>
          <w:sz w:val="32"/>
          <w:szCs w:val="32"/>
        </w:rPr>
      </w:pPr>
      <w:r>
        <w:rPr>
          <w:rFonts w:hint="eastAsia" w:ascii="仿宋_GB2312" w:hAnsi="楷体_GB2312" w:eastAsia="仿宋_GB2312" w:cs="楷体_GB2312"/>
          <w:bCs/>
          <w:sz w:val="32"/>
          <w:szCs w:val="32"/>
        </w:rPr>
        <w:t>到2020年，城乡环境保护基础设施体系基本完善，区域生态环境质量明显改善；重要水功能区达标率达到75%，基本实现地下水采补平衡，水源地得到全面保护，节水型社会全面建成；可恢复天然湿地得到基本恢复，重要生态目标需水得到保障；通过国家森林城市验收，主要</w:t>
      </w:r>
      <w:r>
        <w:rPr>
          <w:rFonts w:ascii="仿宋_GB2312" w:hAnsi="楷体_GB2312" w:eastAsia="仿宋_GB2312" w:cs="楷体_GB2312"/>
          <w:bCs/>
          <w:sz w:val="32"/>
          <w:szCs w:val="32"/>
        </w:rPr>
        <w:t>农作物化肥、农</w:t>
      </w:r>
      <w:r>
        <w:rPr>
          <w:rFonts w:hint="eastAsia" w:ascii="仿宋_GB2312" w:hAnsi="楷体_GB2312" w:eastAsia="仿宋_GB2312" w:cs="楷体_GB2312"/>
          <w:bCs/>
          <w:sz w:val="32"/>
          <w:szCs w:val="32"/>
        </w:rPr>
        <w:t>药</w:t>
      </w:r>
      <w:r>
        <w:rPr>
          <w:rFonts w:ascii="仿宋_GB2312" w:hAnsi="楷体_GB2312" w:eastAsia="仿宋_GB2312" w:cs="楷体_GB2312"/>
          <w:bCs/>
          <w:sz w:val="32"/>
          <w:szCs w:val="32"/>
        </w:rPr>
        <w:t>使用量实现零增长</w:t>
      </w:r>
      <w:r>
        <w:rPr>
          <w:rFonts w:hint="eastAsia" w:ascii="仿宋_GB2312" w:hAnsi="楷体_GB2312" w:eastAsia="仿宋_GB2312" w:cs="楷体_GB2312"/>
          <w:bCs/>
          <w:sz w:val="32"/>
          <w:szCs w:val="32"/>
        </w:rPr>
        <w:t>，跨市域生态环保共建机制顺畅运行。</w:t>
      </w:r>
    </w:p>
    <w:p>
      <w:pPr>
        <w:ind w:firstLine="640" w:firstLineChars="200"/>
        <w:rPr>
          <w:rFonts w:ascii="仿宋_GB2312" w:hAnsi="楷体_GB2312" w:eastAsia="仿宋_GB2312" w:cs="楷体_GB2312"/>
          <w:bCs/>
          <w:sz w:val="32"/>
          <w:szCs w:val="32"/>
        </w:rPr>
      </w:pPr>
      <w:r>
        <w:rPr>
          <w:rFonts w:hint="eastAsia" w:ascii="仿宋_GB2312" w:hAnsi="楷体_GB2312" w:eastAsia="仿宋_GB2312" w:cs="楷体_GB2312"/>
          <w:bCs/>
          <w:sz w:val="32"/>
          <w:szCs w:val="32"/>
        </w:rPr>
        <w:t>到2030年，全市山水林田湖生态修复的重大问题基本解决，重要水功能区全部达标，生态环境质量显著改善，构建起环京津森林、湿地生态屏障体系，全面建成源头预防、过程控制、损害赔偿、责任追究的生态文明体系，成为全国生态修复先行示范区。具体规划目标详见表1。</w:t>
      </w:r>
    </w:p>
    <w:p>
      <w:pPr>
        <w:jc w:val="center"/>
        <w:rPr>
          <w:rFonts w:ascii="仿宋_GB2312" w:hAnsi="楷体_GB2312" w:eastAsia="仿宋_GB2312" w:cs="楷体_GB2312"/>
          <w:bCs/>
          <w:sz w:val="32"/>
          <w:szCs w:val="32"/>
        </w:rPr>
      </w:pPr>
    </w:p>
    <w:p>
      <w:pPr>
        <w:jc w:val="center"/>
        <w:rPr>
          <w:rFonts w:ascii="仿宋_GB2312" w:hAnsi="楷体_GB2312" w:eastAsia="仿宋_GB2312" w:cs="楷体_GB2312"/>
          <w:bCs/>
          <w:sz w:val="32"/>
          <w:szCs w:val="32"/>
        </w:rPr>
      </w:pPr>
    </w:p>
    <w:p>
      <w:pPr>
        <w:jc w:val="center"/>
        <w:rPr>
          <w:rFonts w:ascii="仿宋_GB2312" w:hAnsi="楷体_GB2312" w:eastAsia="仿宋_GB2312" w:cs="楷体_GB2312"/>
          <w:bCs/>
          <w:sz w:val="32"/>
          <w:szCs w:val="32"/>
        </w:rPr>
      </w:pPr>
    </w:p>
    <w:p>
      <w:pPr>
        <w:jc w:val="center"/>
        <w:rPr>
          <w:rFonts w:ascii="仿宋_GB2312" w:hAnsi="楷体_GB2312" w:eastAsia="仿宋_GB2312" w:cs="楷体_GB2312"/>
          <w:bCs/>
          <w:sz w:val="32"/>
          <w:szCs w:val="32"/>
        </w:rPr>
      </w:pPr>
    </w:p>
    <w:p>
      <w:pPr>
        <w:jc w:val="center"/>
        <w:rPr>
          <w:rFonts w:ascii="仿宋_GB2312" w:hAnsi="楷体_GB2312" w:eastAsia="仿宋_GB2312" w:cs="楷体_GB2312"/>
          <w:bCs/>
          <w:sz w:val="32"/>
          <w:szCs w:val="32"/>
        </w:rPr>
      </w:pPr>
      <w:r>
        <w:rPr>
          <w:rFonts w:hint="eastAsia" w:ascii="仿宋_GB2312" w:hAnsi="仿宋_GB2312" w:eastAsia="仿宋_GB2312" w:cs="仿宋_GB2312"/>
          <w:sz w:val="32"/>
          <w:szCs w:val="32"/>
        </w:rPr>
        <w:t>表1</w:t>
      </w:r>
      <w:r>
        <w:rPr>
          <w:rFonts w:hint="eastAsia" w:ascii="仿宋_GB2312" w:hAnsi="楷体_GB2312" w:eastAsia="仿宋_GB2312" w:cs="楷体_GB2312"/>
          <w:bCs/>
          <w:sz w:val="32"/>
          <w:szCs w:val="32"/>
        </w:rPr>
        <w:t>廊坊市生态修复规划指标体系</w:t>
      </w:r>
    </w:p>
    <w:tbl>
      <w:tblPr>
        <w:tblStyle w:val="10"/>
        <w:tblW w:w="9003" w:type="dxa"/>
        <w:tblInd w:w="36" w:type="dxa"/>
        <w:tblLayout w:type="fixed"/>
        <w:tblCellMar>
          <w:top w:w="0" w:type="dxa"/>
          <w:left w:w="108" w:type="dxa"/>
          <w:bottom w:w="0" w:type="dxa"/>
          <w:right w:w="108" w:type="dxa"/>
        </w:tblCellMar>
      </w:tblPr>
      <w:tblGrid>
        <w:gridCol w:w="658"/>
        <w:gridCol w:w="540"/>
        <w:gridCol w:w="1670"/>
        <w:gridCol w:w="1675"/>
        <w:gridCol w:w="1455"/>
        <w:gridCol w:w="930"/>
        <w:gridCol w:w="990"/>
        <w:gridCol w:w="1085"/>
      </w:tblGrid>
      <w:tr>
        <w:tblPrEx>
          <w:tblCellMar>
            <w:top w:w="0" w:type="dxa"/>
            <w:left w:w="108" w:type="dxa"/>
            <w:bottom w:w="0" w:type="dxa"/>
            <w:right w:w="108" w:type="dxa"/>
          </w:tblCellMar>
        </w:tblPrEx>
        <w:trPr>
          <w:trHeight w:val="306" w:hRule="atLeast"/>
        </w:trPr>
        <w:tc>
          <w:tcPr>
            <w:tcW w:w="658" w:type="dxa"/>
            <w:vMerge w:val="restart"/>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22"/>
                <w:szCs w:val="22"/>
                <w:lang w:val="zh-CN"/>
              </w:rPr>
            </w:pPr>
            <w:r>
              <w:rPr>
                <w:rFonts w:hint="eastAsia" w:ascii="宋体" w:cs="宋体"/>
                <w:kern w:val="0"/>
                <w:sz w:val="18"/>
                <w:szCs w:val="18"/>
                <w:lang w:val="zh-CN"/>
              </w:rPr>
              <w:t>类别</w:t>
            </w:r>
          </w:p>
        </w:tc>
        <w:tc>
          <w:tcPr>
            <w:tcW w:w="3885" w:type="dxa"/>
            <w:gridSpan w:val="3"/>
            <w:vMerge w:val="restart"/>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22"/>
                <w:szCs w:val="22"/>
                <w:lang w:val="zh-CN"/>
              </w:rPr>
            </w:pPr>
            <w:r>
              <w:rPr>
                <w:rFonts w:hint="eastAsia" w:ascii="宋体" w:cs="宋体"/>
                <w:kern w:val="0"/>
                <w:sz w:val="18"/>
                <w:szCs w:val="18"/>
                <w:lang w:val="zh-CN"/>
              </w:rPr>
              <w:t>指标名称</w:t>
            </w:r>
          </w:p>
        </w:tc>
        <w:tc>
          <w:tcPr>
            <w:tcW w:w="1455" w:type="dxa"/>
            <w:vMerge w:val="restart"/>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22"/>
                <w:szCs w:val="22"/>
                <w:lang w:val="zh-CN"/>
              </w:rPr>
            </w:pPr>
            <w:r>
              <w:rPr>
                <w:rFonts w:hint="eastAsia" w:ascii="宋体" w:cs="宋体"/>
                <w:kern w:val="0"/>
                <w:sz w:val="18"/>
                <w:szCs w:val="18"/>
                <w:lang w:val="zh-CN"/>
              </w:rPr>
              <w:t>单位</w:t>
            </w:r>
          </w:p>
        </w:tc>
        <w:tc>
          <w:tcPr>
            <w:tcW w:w="3005" w:type="dxa"/>
            <w:gridSpan w:val="3"/>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22"/>
                <w:szCs w:val="22"/>
                <w:lang w:val="zh-CN"/>
              </w:rPr>
            </w:pPr>
            <w:r>
              <w:rPr>
                <w:rFonts w:hint="eastAsia" w:ascii="宋体" w:cs="宋体"/>
                <w:kern w:val="0"/>
                <w:sz w:val="18"/>
                <w:szCs w:val="18"/>
                <w:lang w:val="zh-CN"/>
              </w:rPr>
              <w:t>指标值</w:t>
            </w:r>
          </w:p>
        </w:tc>
      </w:tr>
      <w:tr>
        <w:tblPrEx>
          <w:tblCellMar>
            <w:top w:w="0" w:type="dxa"/>
            <w:left w:w="108" w:type="dxa"/>
            <w:bottom w:w="0" w:type="dxa"/>
            <w:right w:w="108" w:type="dxa"/>
          </w:tblCellMar>
        </w:tblPrEx>
        <w:trPr>
          <w:trHeight w:val="306" w:hRule="atLeast"/>
        </w:trPr>
        <w:tc>
          <w:tcPr>
            <w:tcW w:w="658" w:type="dxa"/>
            <w:vMerge w:val="continue"/>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after="200" w:line="276" w:lineRule="auto"/>
              <w:jc w:val="left"/>
              <w:rPr>
                <w:rFonts w:ascii="宋体" w:cs="宋体"/>
                <w:kern w:val="0"/>
                <w:sz w:val="22"/>
                <w:szCs w:val="22"/>
                <w:lang w:val="zh-CN"/>
              </w:rPr>
            </w:pPr>
          </w:p>
        </w:tc>
        <w:tc>
          <w:tcPr>
            <w:tcW w:w="3885" w:type="dxa"/>
            <w:gridSpan w:val="3"/>
            <w:vMerge w:val="continue"/>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after="200" w:line="276" w:lineRule="auto"/>
              <w:jc w:val="left"/>
              <w:rPr>
                <w:rFonts w:ascii="宋体" w:cs="宋体"/>
                <w:kern w:val="0"/>
                <w:sz w:val="22"/>
                <w:szCs w:val="22"/>
                <w:lang w:val="zh-CN"/>
              </w:rPr>
            </w:pPr>
          </w:p>
        </w:tc>
        <w:tc>
          <w:tcPr>
            <w:tcW w:w="1455" w:type="dxa"/>
            <w:vMerge w:val="continue"/>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after="200" w:line="276" w:lineRule="auto"/>
              <w:jc w:val="left"/>
              <w:rPr>
                <w:rFonts w:ascii="宋体" w:cs="宋体"/>
                <w:kern w:val="0"/>
                <w:sz w:val="22"/>
                <w:szCs w:val="22"/>
                <w:lang w:val="zh-CN"/>
              </w:rPr>
            </w:pPr>
          </w:p>
        </w:tc>
        <w:tc>
          <w:tcPr>
            <w:tcW w:w="930"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22"/>
                <w:szCs w:val="22"/>
                <w:lang w:val="zh-CN"/>
              </w:rPr>
            </w:pPr>
            <w:r>
              <w:rPr>
                <w:rFonts w:ascii="宋体" w:cs="宋体"/>
                <w:kern w:val="0"/>
                <w:sz w:val="18"/>
                <w:szCs w:val="18"/>
                <w:lang w:val="zh-CN"/>
              </w:rPr>
              <w:t>2014</w:t>
            </w:r>
          </w:p>
        </w:tc>
        <w:tc>
          <w:tcPr>
            <w:tcW w:w="990"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22"/>
                <w:szCs w:val="22"/>
                <w:lang w:val="zh-CN"/>
              </w:rPr>
            </w:pPr>
            <w:r>
              <w:rPr>
                <w:rFonts w:ascii="宋体" w:cs="宋体"/>
                <w:kern w:val="0"/>
                <w:sz w:val="18"/>
                <w:szCs w:val="18"/>
                <w:lang w:val="zh-CN"/>
              </w:rPr>
              <w:t>2017</w:t>
            </w:r>
          </w:p>
        </w:tc>
        <w:tc>
          <w:tcPr>
            <w:tcW w:w="1085"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22"/>
                <w:szCs w:val="22"/>
                <w:lang w:val="zh-CN"/>
              </w:rPr>
            </w:pPr>
            <w:r>
              <w:rPr>
                <w:rFonts w:ascii="宋体" w:cs="宋体"/>
                <w:kern w:val="0"/>
                <w:sz w:val="18"/>
                <w:szCs w:val="18"/>
                <w:lang w:val="zh-CN"/>
              </w:rPr>
              <w:t>2020</w:t>
            </w:r>
          </w:p>
        </w:tc>
      </w:tr>
      <w:tr>
        <w:tblPrEx>
          <w:tblCellMar>
            <w:top w:w="0" w:type="dxa"/>
            <w:left w:w="108" w:type="dxa"/>
            <w:bottom w:w="0" w:type="dxa"/>
            <w:right w:w="108" w:type="dxa"/>
          </w:tblCellMar>
        </w:tblPrEx>
        <w:trPr>
          <w:trHeight w:val="306" w:hRule="atLeast"/>
        </w:trPr>
        <w:tc>
          <w:tcPr>
            <w:tcW w:w="658" w:type="dxa"/>
            <w:vMerge w:val="restart"/>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22"/>
                <w:szCs w:val="22"/>
                <w:lang w:val="zh-CN"/>
              </w:rPr>
            </w:pPr>
            <w:r>
              <w:rPr>
                <w:rFonts w:hint="eastAsia" w:ascii="宋体" w:cs="宋体"/>
                <w:kern w:val="0"/>
                <w:sz w:val="18"/>
                <w:szCs w:val="18"/>
                <w:lang w:val="zh-CN"/>
              </w:rPr>
              <w:t>资源能源节约利用</w:t>
            </w:r>
          </w:p>
        </w:tc>
        <w:tc>
          <w:tcPr>
            <w:tcW w:w="540"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ascii="宋体" w:cs="宋体"/>
                <w:kern w:val="0"/>
                <w:sz w:val="18"/>
                <w:szCs w:val="18"/>
                <w:lang w:val="zh-CN"/>
              </w:rPr>
              <w:t>1</w:t>
            </w:r>
          </w:p>
        </w:tc>
        <w:tc>
          <w:tcPr>
            <w:tcW w:w="3345" w:type="dxa"/>
            <w:gridSpan w:val="2"/>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22"/>
                <w:szCs w:val="22"/>
                <w:lang w:val="zh-CN"/>
              </w:rPr>
            </w:pPr>
            <w:r>
              <w:rPr>
                <w:rFonts w:hint="eastAsia" w:ascii="宋体" w:cs="宋体"/>
                <w:kern w:val="0"/>
                <w:sz w:val="18"/>
                <w:szCs w:val="18"/>
                <w:lang w:val="zh-CN"/>
              </w:rPr>
              <w:t>耕地保有量</w:t>
            </w:r>
          </w:p>
        </w:tc>
        <w:tc>
          <w:tcPr>
            <w:tcW w:w="1455"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22"/>
                <w:szCs w:val="22"/>
                <w:lang w:val="zh-CN"/>
              </w:rPr>
            </w:pPr>
            <w:r>
              <w:rPr>
                <w:rFonts w:hint="eastAsia" w:ascii="宋体" w:cs="宋体"/>
                <w:color w:val="000000"/>
                <w:kern w:val="0"/>
                <w:sz w:val="18"/>
                <w:szCs w:val="18"/>
                <w:lang w:val="zh-CN"/>
              </w:rPr>
              <w:t>万公顷</w:t>
            </w:r>
          </w:p>
        </w:tc>
        <w:tc>
          <w:tcPr>
            <w:tcW w:w="930"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hint="eastAsia" w:ascii="宋体" w:cs="宋体"/>
                <w:kern w:val="0"/>
                <w:sz w:val="18"/>
                <w:szCs w:val="18"/>
                <w:lang w:val="zh-CN"/>
              </w:rPr>
              <w:t>35.79</w:t>
            </w:r>
          </w:p>
        </w:tc>
        <w:tc>
          <w:tcPr>
            <w:tcW w:w="990"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5"/>
                <w:szCs w:val="15"/>
                <w:lang w:val="zh-CN"/>
              </w:rPr>
            </w:pPr>
            <w:r>
              <w:rPr>
                <w:rFonts w:hint="eastAsia" w:ascii="宋体" w:cs="宋体"/>
                <w:kern w:val="0"/>
                <w:sz w:val="15"/>
                <w:szCs w:val="15"/>
                <w:lang w:val="zh-CN"/>
              </w:rPr>
              <w:t>达到省要求</w:t>
            </w:r>
          </w:p>
        </w:tc>
        <w:tc>
          <w:tcPr>
            <w:tcW w:w="1085"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hint="eastAsia" w:ascii="宋体" w:cs="宋体"/>
                <w:kern w:val="0"/>
                <w:sz w:val="18"/>
                <w:szCs w:val="18"/>
                <w:lang w:val="zh-CN"/>
              </w:rPr>
              <w:t>32.17</w:t>
            </w:r>
          </w:p>
        </w:tc>
      </w:tr>
      <w:tr>
        <w:tblPrEx>
          <w:tblCellMar>
            <w:top w:w="0" w:type="dxa"/>
            <w:left w:w="108" w:type="dxa"/>
            <w:bottom w:w="0" w:type="dxa"/>
            <w:right w:w="108" w:type="dxa"/>
          </w:tblCellMar>
        </w:tblPrEx>
        <w:trPr>
          <w:trHeight w:val="306" w:hRule="atLeast"/>
        </w:trPr>
        <w:tc>
          <w:tcPr>
            <w:tcW w:w="658" w:type="dxa"/>
            <w:vMerge w:val="continue"/>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after="200" w:line="276" w:lineRule="auto"/>
              <w:jc w:val="left"/>
              <w:rPr>
                <w:rFonts w:ascii="宋体" w:cs="宋体"/>
                <w:kern w:val="0"/>
                <w:sz w:val="22"/>
                <w:szCs w:val="22"/>
                <w:lang w:val="zh-CN"/>
              </w:rPr>
            </w:pPr>
          </w:p>
        </w:tc>
        <w:tc>
          <w:tcPr>
            <w:tcW w:w="540"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ascii="宋体" w:cs="宋体"/>
                <w:kern w:val="0"/>
                <w:sz w:val="18"/>
                <w:szCs w:val="18"/>
                <w:lang w:val="zh-CN"/>
              </w:rPr>
              <w:t>2</w:t>
            </w:r>
          </w:p>
        </w:tc>
        <w:tc>
          <w:tcPr>
            <w:tcW w:w="3345" w:type="dxa"/>
            <w:gridSpan w:val="2"/>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22"/>
                <w:szCs w:val="22"/>
                <w:lang w:val="zh-CN"/>
              </w:rPr>
            </w:pPr>
            <w:r>
              <w:rPr>
                <w:rFonts w:hint="eastAsia" w:ascii="宋体" w:cs="宋体"/>
                <w:kern w:val="0"/>
                <w:sz w:val="18"/>
                <w:szCs w:val="18"/>
                <w:lang w:val="zh-CN"/>
              </w:rPr>
              <w:t>用水总量</w:t>
            </w:r>
          </w:p>
        </w:tc>
        <w:tc>
          <w:tcPr>
            <w:tcW w:w="1455"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22"/>
                <w:szCs w:val="22"/>
                <w:lang w:val="zh-CN"/>
              </w:rPr>
            </w:pPr>
            <w:r>
              <w:rPr>
                <w:rFonts w:hint="eastAsia" w:ascii="宋体" w:cs="宋体"/>
                <w:color w:val="000000"/>
                <w:kern w:val="0"/>
                <w:sz w:val="18"/>
                <w:szCs w:val="18"/>
                <w:lang w:val="zh-CN"/>
              </w:rPr>
              <w:t>亿立方米</w:t>
            </w:r>
          </w:p>
        </w:tc>
        <w:tc>
          <w:tcPr>
            <w:tcW w:w="930"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hint="eastAsia" w:ascii="宋体" w:cs="宋体"/>
                <w:kern w:val="0"/>
                <w:sz w:val="18"/>
                <w:szCs w:val="18"/>
                <w:lang w:val="zh-CN"/>
              </w:rPr>
              <w:t>11.36</w:t>
            </w:r>
          </w:p>
        </w:tc>
        <w:tc>
          <w:tcPr>
            <w:tcW w:w="990"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hint="eastAsia" w:ascii="宋体" w:cs="宋体"/>
                <w:kern w:val="0"/>
                <w:sz w:val="15"/>
                <w:szCs w:val="15"/>
                <w:lang w:val="zh-CN"/>
              </w:rPr>
              <w:t>达到省要求</w:t>
            </w:r>
          </w:p>
        </w:tc>
        <w:tc>
          <w:tcPr>
            <w:tcW w:w="1085"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hint="eastAsia" w:ascii="宋体" w:cs="宋体"/>
                <w:kern w:val="0"/>
                <w:sz w:val="18"/>
                <w:szCs w:val="18"/>
                <w:lang w:val="zh-CN"/>
              </w:rPr>
              <w:t>11.66</w:t>
            </w:r>
          </w:p>
        </w:tc>
      </w:tr>
      <w:tr>
        <w:tblPrEx>
          <w:tblCellMar>
            <w:top w:w="0" w:type="dxa"/>
            <w:left w:w="108" w:type="dxa"/>
            <w:bottom w:w="0" w:type="dxa"/>
            <w:right w:w="108" w:type="dxa"/>
          </w:tblCellMar>
        </w:tblPrEx>
        <w:trPr>
          <w:trHeight w:val="306" w:hRule="atLeast"/>
        </w:trPr>
        <w:tc>
          <w:tcPr>
            <w:tcW w:w="658" w:type="dxa"/>
            <w:vMerge w:val="continue"/>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after="200" w:line="276" w:lineRule="auto"/>
              <w:jc w:val="left"/>
              <w:rPr>
                <w:rFonts w:ascii="宋体" w:cs="宋体"/>
                <w:kern w:val="0"/>
                <w:sz w:val="22"/>
                <w:szCs w:val="22"/>
                <w:lang w:val="zh-CN"/>
              </w:rPr>
            </w:pPr>
          </w:p>
        </w:tc>
        <w:tc>
          <w:tcPr>
            <w:tcW w:w="540"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hint="eastAsia" w:ascii="宋体" w:cs="宋体"/>
                <w:kern w:val="0"/>
                <w:sz w:val="18"/>
                <w:szCs w:val="18"/>
                <w:lang w:val="zh-CN"/>
              </w:rPr>
              <w:t>3</w:t>
            </w:r>
          </w:p>
        </w:tc>
        <w:tc>
          <w:tcPr>
            <w:tcW w:w="3345" w:type="dxa"/>
            <w:gridSpan w:val="2"/>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22"/>
                <w:szCs w:val="22"/>
                <w:lang w:val="zh-CN"/>
              </w:rPr>
            </w:pPr>
            <w:r>
              <w:rPr>
                <w:rFonts w:hint="eastAsia" w:ascii="宋体" w:cs="宋体"/>
                <w:kern w:val="0"/>
                <w:sz w:val="18"/>
                <w:szCs w:val="18"/>
                <w:lang w:val="zh-CN"/>
              </w:rPr>
              <w:t>农业灌溉水有效利用系数</w:t>
            </w:r>
          </w:p>
        </w:tc>
        <w:tc>
          <w:tcPr>
            <w:tcW w:w="1455"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22"/>
                <w:szCs w:val="22"/>
                <w:lang w:val="zh-CN"/>
              </w:rPr>
            </w:pPr>
            <w:r>
              <w:rPr>
                <w:rFonts w:ascii="宋体" w:cs="宋体"/>
                <w:color w:val="000000"/>
                <w:kern w:val="0"/>
                <w:sz w:val="18"/>
                <w:szCs w:val="18"/>
                <w:lang w:val="zh-CN"/>
              </w:rPr>
              <w:t>-</w:t>
            </w:r>
          </w:p>
        </w:tc>
        <w:tc>
          <w:tcPr>
            <w:tcW w:w="930"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hint="eastAsia" w:ascii="宋体" w:cs="宋体"/>
                <w:kern w:val="0"/>
                <w:sz w:val="18"/>
                <w:szCs w:val="18"/>
                <w:lang w:val="zh-CN"/>
              </w:rPr>
              <w:t>0.63</w:t>
            </w:r>
          </w:p>
        </w:tc>
        <w:tc>
          <w:tcPr>
            <w:tcW w:w="990"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hint="eastAsia" w:ascii="宋体" w:cs="宋体"/>
                <w:kern w:val="0"/>
                <w:sz w:val="18"/>
                <w:szCs w:val="18"/>
                <w:lang w:val="zh-CN"/>
              </w:rPr>
              <w:t>0.672</w:t>
            </w:r>
          </w:p>
        </w:tc>
        <w:tc>
          <w:tcPr>
            <w:tcW w:w="1085"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hint="eastAsia" w:ascii="宋体" w:cs="宋体"/>
                <w:kern w:val="0"/>
                <w:sz w:val="18"/>
                <w:szCs w:val="18"/>
                <w:lang w:val="zh-CN"/>
              </w:rPr>
              <w:t>0.70</w:t>
            </w:r>
          </w:p>
        </w:tc>
      </w:tr>
      <w:tr>
        <w:tblPrEx>
          <w:tblCellMar>
            <w:top w:w="0" w:type="dxa"/>
            <w:left w:w="108" w:type="dxa"/>
            <w:bottom w:w="0" w:type="dxa"/>
            <w:right w:w="108" w:type="dxa"/>
          </w:tblCellMar>
        </w:tblPrEx>
        <w:trPr>
          <w:trHeight w:val="306" w:hRule="atLeast"/>
        </w:trPr>
        <w:tc>
          <w:tcPr>
            <w:tcW w:w="658" w:type="dxa"/>
            <w:vMerge w:val="continue"/>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after="200" w:line="276" w:lineRule="auto"/>
              <w:jc w:val="left"/>
              <w:rPr>
                <w:rFonts w:ascii="宋体" w:cs="宋体"/>
                <w:kern w:val="0"/>
                <w:sz w:val="22"/>
                <w:szCs w:val="22"/>
                <w:lang w:val="zh-CN"/>
              </w:rPr>
            </w:pPr>
          </w:p>
        </w:tc>
        <w:tc>
          <w:tcPr>
            <w:tcW w:w="540"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ascii="宋体" w:cs="宋体"/>
                <w:kern w:val="0"/>
                <w:sz w:val="18"/>
                <w:szCs w:val="18"/>
                <w:lang w:val="zh-CN"/>
              </w:rPr>
              <w:t>4</w:t>
            </w:r>
          </w:p>
        </w:tc>
        <w:tc>
          <w:tcPr>
            <w:tcW w:w="3345" w:type="dxa"/>
            <w:gridSpan w:val="2"/>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22"/>
                <w:szCs w:val="22"/>
                <w:lang w:val="zh-CN"/>
              </w:rPr>
            </w:pPr>
            <w:r>
              <w:rPr>
                <w:rFonts w:hint="eastAsia" w:ascii="宋体" w:cs="宋体"/>
                <w:kern w:val="0"/>
                <w:sz w:val="18"/>
                <w:szCs w:val="18"/>
                <w:lang w:val="zh-CN"/>
              </w:rPr>
              <w:t>非常规水资源利用率</w:t>
            </w:r>
          </w:p>
        </w:tc>
        <w:tc>
          <w:tcPr>
            <w:tcW w:w="1455"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22"/>
                <w:szCs w:val="22"/>
                <w:lang w:val="zh-CN"/>
              </w:rPr>
            </w:pPr>
            <w:r>
              <w:rPr>
                <w:rFonts w:ascii="宋体" w:cs="宋体"/>
                <w:kern w:val="0"/>
                <w:sz w:val="18"/>
                <w:szCs w:val="18"/>
                <w:lang w:val="zh-CN"/>
              </w:rPr>
              <w:t>%</w:t>
            </w:r>
          </w:p>
        </w:tc>
        <w:tc>
          <w:tcPr>
            <w:tcW w:w="930"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hint="eastAsia" w:ascii="宋体" w:cs="宋体"/>
                <w:kern w:val="0"/>
                <w:sz w:val="18"/>
                <w:szCs w:val="18"/>
                <w:lang w:val="zh-CN"/>
              </w:rPr>
              <w:t>18</w:t>
            </w:r>
          </w:p>
        </w:tc>
        <w:tc>
          <w:tcPr>
            <w:tcW w:w="990"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hint="eastAsia" w:ascii="宋体" w:cs="宋体"/>
                <w:kern w:val="0"/>
                <w:sz w:val="18"/>
                <w:szCs w:val="18"/>
                <w:lang w:val="zh-CN"/>
              </w:rPr>
              <w:t>20</w:t>
            </w:r>
          </w:p>
        </w:tc>
        <w:tc>
          <w:tcPr>
            <w:tcW w:w="1085"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hint="eastAsia" w:ascii="宋体" w:cs="宋体"/>
                <w:kern w:val="0"/>
                <w:sz w:val="18"/>
                <w:szCs w:val="18"/>
                <w:lang w:val="zh-CN"/>
              </w:rPr>
              <w:t>25</w:t>
            </w:r>
          </w:p>
        </w:tc>
      </w:tr>
      <w:tr>
        <w:tblPrEx>
          <w:tblCellMar>
            <w:top w:w="0" w:type="dxa"/>
            <w:left w:w="108" w:type="dxa"/>
            <w:bottom w:w="0" w:type="dxa"/>
            <w:right w:w="108" w:type="dxa"/>
          </w:tblCellMar>
        </w:tblPrEx>
        <w:trPr>
          <w:trHeight w:val="306" w:hRule="atLeast"/>
        </w:trPr>
        <w:tc>
          <w:tcPr>
            <w:tcW w:w="658" w:type="dxa"/>
            <w:vMerge w:val="continue"/>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after="200" w:line="276" w:lineRule="auto"/>
              <w:jc w:val="left"/>
              <w:rPr>
                <w:rFonts w:ascii="宋体" w:cs="宋体"/>
                <w:kern w:val="0"/>
                <w:sz w:val="22"/>
                <w:szCs w:val="22"/>
                <w:lang w:val="zh-CN"/>
              </w:rPr>
            </w:pPr>
          </w:p>
        </w:tc>
        <w:tc>
          <w:tcPr>
            <w:tcW w:w="540"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ascii="宋体" w:cs="宋体"/>
                <w:kern w:val="0"/>
                <w:sz w:val="18"/>
                <w:szCs w:val="18"/>
                <w:lang w:val="zh-CN"/>
              </w:rPr>
              <w:t>5</w:t>
            </w:r>
          </w:p>
        </w:tc>
        <w:tc>
          <w:tcPr>
            <w:tcW w:w="3345" w:type="dxa"/>
            <w:gridSpan w:val="2"/>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22"/>
                <w:szCs w:val="22"/>
                <w:lang w:val="zh-CN"/>
              </w:rPr>
            </w:pPr>
            <w:r>
              <w:rPr>
                <w:rFonts w:hint="eastAsia" w:ascii="宋体" w:cs="宋体"/>
                <w:kern w:val="0"/>
                <w:sz w:val="18"/>
                <w:szCs w:val="18"/>
                <w:lang w:val="zh-CN"/>
              </w:rPr>
              <w:t>单位</w:t>
            </w:r>
            <w:r>
              <w:rPr>
                <w:rFonts w:ascii="宋体" w:cs="宋体"/>
                <w:kern w:val="0"/>
                <w:sz w:val="18"/>
                <w:szCs w:val="18"/>
                <w:lang w:val="zh-CN"/>
              </w:rPr>
              <w:t>GDP</w:t>
            </w:r>
            <w:r>
              <w:rPr>
                <w:rFonts w:hint="eastAsia" w:ascii="宋体" w:cs="宋体"/>
                <w:kern w:val="0"/>
                <w:sz w:val="18"/>
                <w:szCs w:val="18"/>
                <w:lang w:val="zh-CN"/>
              </w:rPr>
              <w:t>能耗</w:t>
            </w:r>
          </w:p>
        </w:tc>
        <w:tc>
          <w:tcPr>
            <w:tcW w:w="1455"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22"/>
                <w:szCs w:val="22"/>
                <w:lang w:val="zh-CN"/>
              </w:rPr>
            </w:pPr>
            <w:r>
              <w:rPr>
                <w:rFonts w:hint="eastAsia" w:ascii="宋体" w:cs="宋体"/>
                <w:kern w:val="0"/>
                <w:sz w:val="18"/>
                <w:szCs w:val="18"/>
                <w:lang w:val="zh-CN"/>
              </w:rPr>
              <w:t>吨标准煤</w:t>
            </w:r>
            <w:r>
              <w:rPr>
                <w:rFonts w:ascii="宋体" w:cs="宋体"/>
                <w:kern w:val="0"/>
                <w:sz w:val="18"/>
                <w:szCs w:val="18"/>
                <w:lang w:val="zh-CN"/>
              </w:rPr>
              <w:t>/</w:t>
            </w:r>
            <w:r>
              <w:rPr>
                <w:rFonts w:hint="eastAsia" w:ascii="宋体" w:cs="宋体"/>
                <w:kern w:val="0"/>
                <w:sz w:val="18"/>
                <w:szCs w:val="18"/>
                <w:lang w:val="zh-CN"/>
              </w:rPr>
              <w:t>万元</w:t>
            </w:r>
          </w:p>
        </w:tc>
        <w:tc>
          <w:tcPr>
            <w:tcW w:w="930"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hint="eastAsia" w:ascii="宋体" w:cs="宋体"/>
                <w:kern w:val="0"/>
                <w:sz w:val="18"/>
                <w:szCs w:val="18"/>
                <w:lang w:val="zh-CN"/>
              </w:rPr>
              <w:t>1.047</w:t>
            </w:r>
          </w:p>
        </w:tc>
        <w:tc>
          <w:tcPr>
            <w:tcW w:w="990"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hint="eastAsia" w:ascii="宋体" w:cs="宋体"/>
                <w:kern w:val="0"/>
                <w:sz w:val="15"/>
                <w:szCs w:val="15"/>
                <w:lang w:val="zh-CN"/>
              </w:rPr>
              <w:t>达到省要求</w:t>
            </w:r>
          </w:p>
        </w:tc>
        <w:tc>
          <w:tcPr>
            <w:tcW w:w="1085"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hint="eastAsia" w:ascii="宋体" w:cs="宋体"/>
                <w:kern w:val="0"/>
                <w:sz w:val="15"/>
                <w:szCs w:val="15"/>
                <w:lang w:val="zh-CN"/>
              </w:rPr>
              <w:t>达到省要求</w:t>
            </w:r>
          </w:p>
        </w:tc>
      </w:tr>
      <w:tr>
        <w:tblPrEx>
          <w:tblCellMar>
            <w:top w:w="0" w:type="dxa"/>
            <w:left w:w="108" w:type="dxa"/>
            <w:bottom w:w="0" w:type="dxa"/>
            <w:right w:w="108" w:type="dxa"/>
          </w:tblCellMar>
        </w:tblPrEx>
        <w:trPr>
          <w:trHeight w:val="306" w:hRule="atLeast"/>
        </w:trPr>
        <w:tc>
          <w:tcPr>
            <w:tcW w:w="658" w:type="dxa"/>
            <w:vMerge w:val="restart"/>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hint="eastAsia" w:ascii="宋体" w:cs="宋体"/>
                <w:kern w:val="0"/>
                <w:sz w:val="18"/>
                <w:szCs w:val="18"/>
                <w:lang w:val="zh-CN"/>
              </w:rPr>
              <w:t>生态建设与环境保护</w:t>
            </w:r>
          </w:p>
          <w:p>
            <w:pPr>
              <w:autoSpaceDE w:val="0"/>
              <w:autoSpaceDN w:val="0"/>
              <w:adjustRightInd w:val="0"/>
              <w:spacing w:line="300" w:lineRule="atLeast"/>
              <w:jc w:val="center"/>
              <w:rPr>
                <w:rFonts w:ascii="宋体" w:cs="宋体"/>
                <w:kern w:val="0"/>
                <w:sz w:val="18"/>
                <w:szCs w:val="18"/>
                <w:lang w:val="zh-CN"/>
              </w:rPr>
            </w:pPr>
          </w:p>
          <w:p>
            <w:pPr>
              <w:autoSpaceDE w:val="0"/>
              <w:autoSpaceDN w:val="0"/>
              <w:adjustRightInd w:val="0"/>
              <w:spacing w:line="300" w:lineRule="atLeast"/>
              <w:jc w:val="center"/>
              <w:rPr>
                <w:rFonts w:ascii="宋体" w:cs="宋体"/>
                <w:kern w:val="0"/>
                <w:sz w:val="22"/>
                <w:szCs w:val="22"/>
                <w:lang w:val="zh-CN"/>
              </w:rPr>
            </w:pPr>
          </w:p>
        </w:tc>
        <w:tc>
          <w:tcPr>
            <w:tcW w:w="540"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hint="eastAsia" w:ascii="宋体" w:cs="宋体"/>
                <w:kern w:val="0"/>
                <w:sz w:val="18"/>
                <w:szCs w:val="18"/>
                <w:lang w:val="zh-CN"/>
              </w:rPr>
              <w:t>6</w:t>
            </w:r>
          </w:p>
        </w:tc>
        <w:tc>
          <w:tcPr>
            <w:tcW w:w="3345" w:type="dxa"/>
            <w:gridSpan w:val="2"/>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22"/>
                <w:szCs w:val="22"/>
                <w:lang w:val="zh-CN"/>
              </w:rPr>
            </w:pPr>
            <w:r>
              <w:rPr>
                <w:rFonts w:hint="eastAsia" w:ascii="宋体" w:cs="宋体"/>
                <w:kern w:val="0"/>
                <w:sz w:val="18"/>
                <w:szCs w:val="18"/>
                <w:lang w:val="zh-CN"/>
              </w:rPr>
              <w:t>林地保有量</w:t>
            </w:r>
          </w:p>
        </w:tc>
        <w:tc>
          <w:tcPr>
            <w:tcW w:w="1455"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22"/>
                <w:szCs w:val="22"/>
                <w:lang w:val="zh-CN"/>
              </w:rPr>
            </w:pPr>
            <w:r>
              <w:rPr>
                <w:rFonts w:hint="eastAsia" w:ascii="宋体" w:cs="宋体"/>
                <w:color w:val="000000"/>
                <w:kern w:val="0"/>
                <w:sz w:val="18"/>
                <w:szCs w:val="18"/>
                <w:lang w:val="zh-CN"/>
              </w:rPr>
              <w:t>万公顷</w:t>
            </w:r>
          </w:p>
        </w:tc>
        <w:tc>
          <w:tcPr>
            <w:tcW w:w="930"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hint="eastAsia" w:ascii="宋体" w:cs="宋体"/>
                <w:kern w:val="0"/>
                <w:sz w:val="18"/>
                <w:szCs w:val="18"/>
                <w:lang w:val="zh-CN"/>
              </w:rPr>
              <w:t>15.00</w:t>
            </w:r>
          </w:p>
        </w:tc>
        <w:tc>
          <w:tcPr>
            <w:tcW w:w="990"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rPr>
            </w:pPr>
            <w:r>
              <w:rPr>
                <w:rFonts w:hint="eastAsia" w:ascii="宋体" w:cs="宋体"/>
                <w:kern w:val="0"/>
                <w:sz w:val="18"/>
                <w:szCs w:val="18"/>
              </w:rPr>
              <w:t>19.3</w:t>
            </w:r>
          </w:p>
        </w:tc>
        <w:tc>
          <w:tcPr>
            <w:tcW w:w="1085"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rPr>
            </w:pPr>
            <w:r>
              <w:rPr>
                <w:rFonts w:hint="eastAsia" w:ascii="宋体" w:cs="宋体"/>
                <w:kern w:val="0"/>
                <w:sz w:val="18"/>
                <w:szCs w:val="18"/>
              </w:rPr>
              <w:t>20.6</w:t>
            </w:r>
          </w:p>
        </w:tc>
      </w:tr>
      <w:tr>
        <w:tblPrEx>
          <w:tblCellMar>
            <w:top w:w="0" w:type="dxa"/>
            <w:left w:w="108" w:type="dxa"/>
            <w:bottom w:w="0" w:type="dxa"/>
            <w:right w:w="108" w:type="dxa"/>
          </w:tblCellMar>
        </w:tblPrEx>
        <w:trPr>
          <w:trHeight w:val="306" w:hRule="atLeast"/>
        </w:trPr>
        <w:tc>
          <w:tcPr>
            <w:tcW w:w="658" w:type="dxa"/>
            <w:vMerge w:val="continue"/>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after="200" w:line="276" w:lineRule="auto"/>
              <w:jc w:val="left"/>
              <w:rPr>
                <w:rFonts w:ascii="宋体" w:cs="宋体"/>
                <w:kern w:val="0"/>
                <w:sz w:val="22"/>
                <w:szCs w:val="22"/>
                <w:lang w:val="zh-CN"/>
              </w:rPr>
            </w:pPr>
          </w:p>
        </w:tc>
        <w:tc>
          <w:tcPr>
            <w:tcW w:w="540"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hint="eastAsia" w:ascii="宋体" w:cs="宋体"/>
                <w:kern w:val="0"/>
                <w:sz w:val="18"/>
                <w:szCs w:val="18"/>
                <w:lang w:val="zh-CN"/>
              </w:rPr>
              <w:t>7</w:t>
            </w:r>
          </w:p>
        </w:tc>
        <w:tc>
          <w:tcPr>
            <w:tcW w:w="3345" w:type="dxa"/>
            <w:gridSpan w:val="2"/>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color w:val="000000" w:themeColor="text1"/>
                <w:kern w:val="0"/>
                <w:sz w:val="22"/>
                <w:szCs w:val="22"/>
                <w:lang w:val="zh-CN"/>
              </w:rPr>
            </w:pPr>
            <w:r>
              <w:rPr>
                <w:rFonts w:hint="eastAsia" w:ascii="宋体" w:cs="宋体"/>
                <w:color w:val="000000" w:themeColor="text1"/>
                <w:kern w:val="0"/>
                <w:sz w:val="18"/>
                <w:szCs w:val="18"/>
                <w:lang w:val="zh-CN"/>
              </w:rPr>
              <w:t>森林覆盖率</w:t>
            </w:r>
          </w:p>
        </w:tc>
        <w:tc>
          <w:tcPr>
            <w:tcW w:w="1455"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color w:val="000000" w:themeColor="text1"/>
                <w:kern w:val="0"/>
                <w:sz w:val="22"/>
                <w:szCs w:val="22"/>
                <w:lang w:val="zh-CN"/>
              </w:rPr>
            </w:pPr>
            <w:r>
              <w:rPr>
                <w:rFonts w:ascii="宋体" w:cs="宋体"/>
                <w:color w:val="000000" w:themeColor="text1"/>
                <w:kern w:val="0"/>
                <w:sz w:val="18"/>
                <w:szCs w:val="18"/>
                <w:lang w:val="zh-CN"/>
              </w:rPr>
              <w:t>%</w:t>
            </w:r>
          </w:p>
        </w:tc>
        <w:tc>
          <w:tcPr>
            <w:tcW w:w="930"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color w:val="000000" w:themeColor="text1"/>
                <w:kern w:val="0"/>
                <w:sz w:val="18"/>
                <w:szCs w:val="18"/>
                <w:lang w:val="zh-CN"/>
              </w:rPr>
            </w:pPr>
            <w:r>
              <w:rPr>
                <w:rFonts w:hint="eastAsia" w:ascii="宋体" w:cs="宋体"/>
                <w:color w:val="000000" w:themeColor="text1"/>
                <w:kern w:val="0"/>
                <w:sz w:val="18"/>
                <w:szCs w:val="18"/>
                <w:lang w:val="zh-CN"/>
              </w:rPr>
              <w:t>23.3</w:t>
            </w:r>
          </w:p>
        </w:tc>
        <w:tc>
          <w:tcPr>
            <w:tcW w:w="990"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color w:val="000000" w:themeColor="text1"/>
                <w:kern w:val="0"/>
                <w:sz w:val="18"/>
                <w:szCs w:val="18"/>
                <w:lang w:val="zh-CN"/>
              </w:rPr>
            </w:pPr>
            <w:r>
              <w:rPr>
                <w:rFonts w:hint="eastAsia" w:ascii="宋体" w:cs="宋体"/>
                <w:color w:val="000000" w:themeColor="text1"/>
                <w:kern w:val="0"/>
                <w:sz w:val="18"/>
                <w:szCs w:val="18"/>
                <w:lang w:val="zh-CN"/>
              </w:rPr>
              <w:t>32</w:t>
            </w:r>
          </w:p>
        </w:tc>
        <w:tc>
          <w:tcPr>
            <w:tcW w:w="1085"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color w:val="000000" w:themeColor="text1"/>
                <w:kern w:val="0"/>
                <w:sz w:val="18"/>
                <w:szCs w:val="18"/>
                <w:lang w:val="zh-CN"/>
              </w:rPr>
            </w:pPr>
            <w:r>
              <w:rPr>
                <w:rFonts w:hint="eastAsia" w:ascii="宋体" w:cs="宋体"/>
                <w:color w:val="000000" w:themeColor="text1"/>
                <w:kern w:val="0"/>
                <w:sz w:val="18"/>
                <w:szCs w:val="18"/>
                <w:lang w:val="zh-CN"/>
              </w:rPr>
              <w:t>35</w:t>
            </w:r>
          </w:p>
        </w:tc>
      </w:tr>
      <w:tr>
        <w:tblPrEx>
          <w:tblCellMar>
            <w:top w:w="0" w:type="dxa"/>
            <w:left w:w="108" w:type="dxa"/>
            <w:bottom w:w="0" w:type="dxa"/>
            <w:right w:w="108" w:type="dxa"/>
          </w:tblCellMar>
        </w:tblPrEx>
        <w:trPr>
          <w:trHeight w:val="306" w:hRule="atLeast"/>
        </w:trPr>
        <w:tc>
          <w:tcPr>
            <w:tcW w:w="658" w:type="dxa"/>
            <w:vMerge w:val="continue"/>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after="200" w:line="276" w:lineRule="auto"/>
              <w:jc w:val="left"/>
              <w:rPr>
                <w:rFonts w:ascii="宋体" w:cs="宋体"/>
                <w:kern w:val="0"/>
                <w:sz w:val="22"/>
                <w:szCs w:val="22"/>
                <w:lang w:val="zh-CN"/>
              </w:rPr>
            </w:pPr>
          </w:p>
        </w:tc>
        <w:tc>
          <w:tcPr>
            <w:tcW w:w="540"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hint="eastAsia" w:ascii="宋体" w:cs="宋体"/>
                <w:kern w:val="0"/>
                <w:sz w:val="18"/>
                <w:szCs w:val="18"/>
                <w:lang w:val="zh-CN"/>
              </w:rPr>
              <w:t>8</w:t>
            </w:r>
          </w:p>
        </w:tc>
        <w:tc>
          <w:tcPr>
            <w:tcW w:w="3345" w:type="dxa"/>
            <w:gridSpan w:val="2"/>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22"/>
                <w:szCs w:val="22"/>
                <w:lang w:val="zh-CN"/>
              </w:rPr>
            </w:pPr>
            <w:r>
              <w:rPr>
                <w:rFonts w:hint="eastAsia" w:ascii="宋体" w:cs="宋体"/>
                <w:kern w:val="0"/>
                <w:sz w:val="18"/>
                <w:szCs w:val="18"/>
                <w:lang w:val="zh-CN"/>
              </w:rPr>
              <w:t>湿地保有量</w:t>
            </w:r>
          </w:p>
        </w:tc>
        <w:tc>
          <w:tcPr>
            <w:tcW w:w="1455"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22"/>
                <w:szCs w:val="22"/>
                <w:lang w:val="zh-CN"/>
              </w:rPr>
            </w:pPr>
            <w:r>
              <w:rPr>
                <w:rFonts w:hint="eastAsia" w:ascii="宋体" w:cs="宋体"/>
                <w:color w:val="000000"/>
                <w:kern w:val="0"/>
                <w:sz w:val="18"/>
                <w:szCs w:val="18"/>
                <w:lang w:val="zh-CN"/>
              </w:rPr>
              <w:t>万公顷</w:t>
            </w:r>
          </w:p>
        </w:tc>
        <w:tc>
          <w:tcPr>
            <w:tcW w:w="930"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hint="eastAsia" w:ascii="宋体" w:cs="宋体"/>
                <w:kern w:val="0"/>
                <w:sz w:val="18"/>
                <w:szCs w:val="18"/>
                <w:lang w:val="zh-CN"/>
              </w:rPr>
              <w:t>1.46856</w:t>
            </w:r>
          </w:p>
        </w:tc>
        <w:tc>
          <w:tcPr>
            <w:tcW w:w="990"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hint="eastAsia" w:ascii="宋体" w:cs="宋体"/>
                <w:kern w:val="0"/>
                <w:sz w:val="15"/>
                <w:szCs w:val="15"/>
                <w:lang w:val="zh-CN"/>
              </w:rPr>
              <w:t>达到省要求</w:t>
            </w:r>
          </w:p>
        </w:tc>
        <w:tc>
          <w:tcPr>
            <w:tcW w:w="1085"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hint="eastAsia" w:ascii="宋体" w:cs="宋体"/>
                <w:kern w:val="0"/>
                <w:sz w:val="15"/>
                <w:szCs w:val="15"/>
                <w:lang w:val="zh-CN"/>
              </w:rPr>
              <w:t>达到省要求</w:t>
            </w:r>
          </w:p>
        </w:tc>
      </w:tr>
      <w:tr>
        <w:tblPrEx>
          <w:tblCellMar>
            <w:top w:w="0" w:type="dxa"/>
            <w:left w:w="108" w:type="dxa"/>
            <w:bottom w:w="0" w:type="dxa"/>
            <w:right w:w="108" w:type="dxa"/>
          </w:tblCellMar>
        </w:tblPrEx>
        <w:trPr>
          <w:trHeight w:val="306" w:hRule="atLeast"/>
        </w:trPr>
        <w:tc>
          <w:tcPr>
            <w:tcW w:w="658" w:type="dxa"/>
            <w:vMerge w:val="continue"/>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after="200" w:line="276" w:lineRule="auto"/>
              <w:jc w:val="left"/>
              <w:rPr>
                <w:rFonts w:ascii="宋体" w:cs="宋体"/>
                <w:kern w:val="0"/>
                <w:sz w:val="22"/>
                <w:szCs w:val="22"/>
                <w:lang w:val="zh-CN"/>
              </w:rPr>
            </w:pPr>
          </w:p>
        </w:tc>
        <w:tc>
          <w:tcPr>
            <w:tcW w:w="540"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hint="eastAsia" w:ascii="宋体" w:cs="宋体"/>
                <w:kern w:val="0"/>
                <w:sz w:val="18"/>
                <w:szCs w:val="18"/>
                <w:lang w:val="zh-CN"/>
              </w:rPr>
              <w:t>9</w:t>
            </w:r>
          </w:p>
        </w:tc>
        <w:tc>
          <w:tcPr>
            <w:tcW w:w="3345" w:type="dxa"/>
            <w:gridSpan w:val="2"/>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22"/>
                <w:szCs w:val="22"/>
                <w:lang w:val="zh-CN"/>
              </w:rPr>
            </w:pPr>
            <w:r>
              <w:rPr>
                <w:rFonts w:hint="eastAsia" w:ascii="宋体" w:cs="宋体"/>
                <w:kern w:val="0"/>
                <w:sz w:val="18"/>
                <w:szCs w:val="18"/>
                <w:lang w:val="zh-CN"/>
              </w:rPr>
              <w:t>中心城区人均公园绿地面积</w:t>
            </w:r>
          </w:p>
        </w:tc>
        <w:tc>
          <w:tcPr>
            <w:tcW w:w="1455"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22"/>
                <w:szCs w:val="22"/>
                <w:lang w:val="zh-CN"/>
              </w:rPr>
            </w:pPr>
            <w:r>
              <w:rPr>
                <w:rFonts w:hint="eastAsia" w:ascii="宋体" w:cs="宋体"/>
                <w:kern w:val="0"/>
                <w:sz w:val="18"/>
                <w:szCs w:val="18"/>
                <w:lang w:val="zh-CN"/>
              </w:rPr>
              <w:t>平方米</w:t>
            </w:r>
          </w:p>
        </w:tc>
        <w:tc>
          <w:tcPr>
            <w:tcW w:w="930"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hint="eastAsia" w:ascii="宋体" w:cs="宋体"/>
                <w:kern w:val="0"/>
                <w:sz w:val="18"/>
                <w:szCs w:val="18"/>
                <w:lang w:val="zh-CN"/>
              </w:rPr>
              <w:t>13.46</w:t>
            </w:r>
          </w:p>
        </w:tc>
        <w:tc>
          <w:tcPr>
            <w:tcW w:w="990"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hint="eastAsia" w:ascii="宋体" w:cs="宋体"/>
                <w:kern w:val="0"/>
                <w:sz w:val="18"/>
                <w:szCs w:val="18"/>
                <w:lang w:val="zh-CN"/>
              </w:rPr>
              <w:t>14.5</w:t>
            </w:r>
          </w:p>
        </w:tc>
        <w:tc>
          <w:tcPr>
            <w:tcW w:w="1085"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hint="eastAsia" w:ascii="宋体" w:cs="宋体"/>
                <w:kern w:val="0"/>
                <w:sz w:val="18"/>
                <w:szCs w:val="18"/>
                <w:lang w:val="zh-CN"/>
              </w:rPr>
              <w:t>15</w:t>
            </w:r>
          </w:p>
        </w:tc>
      </w:tr>
      <w:tr>
        <w:tblPrEx>
          <w:tblCellMar>
            <w:top w:w="0" w:type="dxa"/>
            <w:left w:w="108" w:type="dxa"/>
            <w:bottom w:w="0" w:type="dxa"/>
            <w:right w:w="108" w:type="dxa"/>
          </w:tblCellMar>
        </w:tblPrEx>
        <w:trPr>
          <w:trHeight w:val="306" w:hRule="atLeast"/>
        </w:trPr>
        <w:tc>
          <w:tcPr>
            <w:tcW w:w="658" w:type="dxa"/>
            <w:vMerge w:val="continue"/>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after="200" w:line="276" w:lineRule="auto"/>
              <w:jc w:val="left"/>
              <w:rPr>
                <w:rFonts w:ascii="宋体" w:cs="宋体"/>
                <w:kern w:val="0"/>
                <w:sz w:val="22"/>
                <w:szCs w:val="22"/>
                <w:lang w:val="zh-CN"/>
              </w:rPr>
            </w:pPr>
          </w:p>
        </w:tc>
        <w:tc>
          <w:tcPr>
            <w:tcW w:w="540"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ascii="宋体" w:cs="宋体"/>
                <w:kern w:val="0"/>
                <w:sz w:val="18"/>
                <w:szCs w:val="18"/>
                <w:lang w:val="zh-CN"/>
              </w:rPr>
              <w:t>1</w:t>
            </w:r>
            <w:r>
              <w:rPr>
                <w:rFonts w:hint="eastAsia" w:ascii="宋体" w:cs="宋体"/>
                <w:kern w:val="0"/>
                <w:sz w:val="18"/>
                <w:szCs w:val="18"/>
                <w:lang w:val="zh-CN"/>
              </w:rPr>
              <w:t>0</w:t>
            </w:r>
          </w:p>
        </w:tc>
        <w:tc>
          <w:tcPr>
            <w:tcW w:w="1670" w:type="dxa"/>
            <w:vMerge w:val="restart"/>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hint="eastAsia" w:ascii="宋体" w:cs="宋体"/>
                <w:kern w:val="0"/>
                <w:sz w:val="18"/>
                <w:szCs w:val="18"/>
                <w:lang w:val="zh-CN"/>
              </w:rPr>
              <w:t>主要污染物</w:t>
            </w:r>
          </w:p>
          <w:p>
            <w:pPr>
              <w:autoSpaceDE w:val="0"/>
              <w:autoSpaceDN w:val="0"/>
              <w:adjustRightInd w:val="0"/>
              <w:spacing w:line="300" w:lineRule="atLeast"/>
              <w:jc w:val="center"/>
              <w:rPr>
                <w:rFonts w:ascii="宋体" w:cs="宋体"/>
                <w:kern w:val="0"/>
                <w:sz w:val="22"/>
                <w:szCs w:val="22"/>
                <w:lang w:val="zh-CN"/>
              </w:rPr>
            </w:pPr>
            <w:r>
              <w:rPr>
                <w:rFonts w:hint="eastAsia" w:ascii="宋体" w:cs="宋体"/>
                <w:kern w:val="0"/>
                <w:sz w:val="18"/>
                <w:szCs w:val="18"/>
                <w:lang w:val="zh-CN"/>
              </w:rPr>
              <w:t>排放总量</w:t>
            </w:r>
          </w:p>
        </w:tc>
        <w:tc>
          <w:tcPr>
            <w:tcW w:w="1675"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22"/>
                <w:szCs w:val="22"/>
                <w:lang w:val="zh-CN"/>
              </w:rPr>
            </w:pPr>
            <w:r>
              <w:rPr>
                <w:rFonts w:ascii="宋体" w:cs="宋体"/>
                <w:kern w:val="0"/>
                <w:sz w:val="18"/>
                <w:szCs w:val="18"/>
                <w:lang w:val="zh-CN"/>
              </w:rPr>
              <w:t>COD</w:t>
            </w:r>
          </w:p>
        </w:tc>
        <w:tc>
          <w:tcPr>
            <w:tcW w:w="1455"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22"/>
                <w:szCs w:val="22"/>
                <w:lang w:val="zh-CN"/>
              </w:rPr>
            </w:pPr>
            <w:r>
              <w:rPr>
                <w:rFonts w:hint="eastAsia" w:ascii="宋体" w:cs="宋体"/>
                <w:color w:val="000000"/>
                <w:kern w:val="0"/>
                <w:sz w:val="18"/>
                <w:szCs w:val="18"/>
                <w:lang w:val="zh-CN"/>
              </w:rPr>
              <w:t>万吨</w:t>
            </w:r>
          </w:p>
        </w:tc>
        <w:tc>
          <w:tcPr>
            <w:tcW w:w="930"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hint="eastAsia" w:ascii="宋体" w:cs="宋体"/>
                <w:kern w:val="0"/>
                <w:sz w:val="18"/>
                <w:szCs w:val="18"/>
                <w:lang w:val="zh-CN"/>
              </w:rPr>
              <w:t>9.47</w:t>
            </w:r>
          </w:p>
        </w:tc>
        <w:tc>
          <w:tcPr>
            <w:tcW w:w="990"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hint="eastAsia" w:ascii="宋体" w:cs="宋体"/>
                <w:kern w:val="0"/>
                <w:sz w:val="15"/>
                <w:szCs w:val="15"/>
                <w:lang w:val="zh-CN"/>
              </w:rPr>
              <w:t>达到省要求</w:t>
            </w:r>
          </w:p>
        </w:tc>
        <w:tc>
          <w:tcPr>
            <w:tcW w:w="1085"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hint="eastAsia" w:ascii="宋体" w:cs="宋体"/>
                <w:kern w:val="0"/>
                <w:sz w:val="15"/>
                <w:szCs w:val="15"/>
                <w:lang w:val="zh-CN"/>
              </w:rPr>
              <w:t>达到省要求</w:t>
            </w:r>
          </w:p>
        </w:tc>
      </w:tr>
      <w:tr>
        <w:tblPrEx>
          <w:tblCellMar>
            <w:top w:w="0" w:type="dxa"/>
            <w:left w:w="108" w:type="dxa"/>
            <w:bottom w:w="0" w:type="dxa"/>
            <w:right w:w="108" w:type="dxa"/>
          </w:tblCellMar>
        </w:tblPrEx>
        <w:trPr>
          <w:trHeight w:val="306" w:hRule="atLeast"/>
        </w:trPr>
        <w:tc>
          <w:tcPr>
            <w:tcW w:w="658" w:type="dxa"/>
            <w:vMerge w:val="continue"/>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after="200" w:line="276" w:lineRule="auto"/>
              <w:jc w:val="left"/>
              <w:rPr>
                <w:rFonts w:ascii="宋体" w:cs="宋体"/>
                <w:kern w:val="0"/>
                <w:sz w:val="22"/>
                <w:szCs w:val="22"/>
                <w:lang w:val="zh-CN"/>
              </w:rPr>
            </w:pPr>
          </w:p>
        </w:tc>
        <w:tc>
          <w:tcPr>
            <w:tcW w:w="540"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ascii="宋体" w:cs="宋体"/>
                <w:kern w:val="0"/>
                <w:sz w:val="18"/>
                <w:szCs w:val="18"/>
                <w:lang w:val="zh-CN"/>
              </w:rPr>
              <w:t>1</w:t>
            </w:r>
            <w:r>
              <w:rPr>
                <w:rFonts w:hint="eastAsia" w:ascii="宋体" w:cs="宋体"/>
                <w:kern w:val="0"/>
                <w:sz w:val="18"/>
                <w:szCs w:val="18"/>
                <w:lang w:val="zh-CN"/>
              </w:rPr>
              <w:t>1</w:t>
            </w:r>
          </w:p>
        </w:tc>
        <w:tc>
          <w:tcPr>
            <w:tcW w:w="1670" w:type="dxa"/>
            <w:vMerge w:val="continue"/>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after="200" w:line="276" w:lineRule="auto"/>
              <w:jc w:val="left"/>
              <w:rPr>
                <w:rFonts w:ascii="宋体" w:cs="宋体"/>
                <w:kern w:val="0"/>
                <w:sz w:val="22"/>
                <w:szCs w:val="22"/>
                <w:lang w:val="zh-CN"/>
              </w:rPr>
            </w:pPr>
          </w:p>
        </w:tc>
        <w:tc>
          <w:tcPr>
            <w:tcW w:w="1675"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22"/>
                <w:szCs w:val="22"/>
                <w:lang w:val="zh-CN"/>
              </w:rPr>
            </w:pPr>
            <w:r>
              <w:rPr>
                <w:rFonts w:hint="eastAsia" w:ascii="宋体" w:cs="宋体"/>
                <w:kern w:val="0"/>
                <w:sz w:val="18"/>
                <w:szCs w:val="18"/>
                <w:lang w:val="zh-CN"/>
              </w:rPr>
              <w:t>氨氮</w:t>
            </w:r>
          </w:p>
        </w:tc>
        <w:tc>
          <w:tcPr>
            <w:tcW w:w="1455"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22"/>
                <w:szCs w:val="22"/>
                <w:lang w:val="zh-CN"/>
              </w:rPr>
            </w:pPr>
            <w:r>
              <w:rPr>
                <w:rFonts w:hint="eastAsia" w:ascii="宋体" w:cs="宋体"/>
                <w:color w:val="000000"/>
                <w:kern w:val="0"/>
                <w:sz w:val="18"/>
                <w:szCs w:val="18"/>
                <w:lang w:val="zh-CN"/>
              </w:rPr>
              <w:t>万吨</w:t>
            </w:r>
          </w:p>
        </w:tc>
        <w:tc>
          <w:tcPr>
            <w:tcW w:w="930"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hint="eastAsia" w:ascii="宋体" w:cs="宋体"/>
                <w:kern w:val="0"/>
                <w:sz w:val="18"/>
                <w:szCs w:val="18"/>
                <w:lang w:val="zh-CN"/>
              </w:rPr>
              <w:t>0.71</w:t>
            </w:r>
          </w:p>
        </w:tc>
        <w:tc>
          <w:tcPr>
            <w:tcW w:w="990"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hint="eastAsia" w:ascii="宋体" w:cs="宋体"/>
                <w:kern w:val="0"/>
                <w:sz w:val="15"/>
                <w:szCs w:val="15"/>
                <w:lang w:val="zh-CN"/>
              </w:rPr>
              <w:t>达到省要求</w:t>
            </w:r>
          </w:p>
        </w:tc>
        <w:tc>
          <w:tcPr>
            <w:tcW w:w="1085"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hint="eastAsia" w:ascii="宋体" w:cs="宋体"/>
                <w:kern w:val="0"/>
                <w:sz w:val="15"/>
                <w:szCs w:val="15"/>
                <w:lang w:val="zh-CN"/>
              </w:rPr>
              <w:t>达到省要求</w:t>
            </w:r>
          </w:p>
        </w:tc>
      </w:tr>
      <w:tr>
        <w:tblPrEx>
          <w:tblCellMar>
            <w:top w:w="0" w:type="dxa"/>
            <w:left w:w="108" w:type="dxa"/>
            <w:bottom w:w="0" w:type="dxa"/>
            <w:right w:w="108" w:type="dxa"/>
          </w:tblCellMar>
        </w:tblPrEx>
        <w:trPr>
          <w:trHeight w:val="306" w:hRule="atLeast"/>
        </w:trPr>
        <w:tc>
          <w:tcPr>
            <w:tcW w:w="658" w:type="dxa"/>
            <w:vMerge w:val="continue"/>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after="200" w:line="276" w:lineRule="auto"/>
              <w:jc w:val="left"/>
              <w:rPr>
                <w:rFonts w:ascii="宋体" w:cs="宋体"/>
                <w:kern w:val="0"/>
                <w:sz w:val="22"/>
                <w:szCs w:val="22"/>
                <w:lang w:val="zh-CN"/>
              </w:rPr>
            </w:pPr>
          </w:p>
        </w:tc>
        <w:tc>
          <w:tcPr>
            <w:tcW w:w="540"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ascii="宋体" w:cs="宋体"/>
                <w:kern w:val="0"/>
                <w:sz w:val="18"/>
                <w:szCs w:val="18"/>
                <w:lang w:val="zh-CN"/>
              </w:rPr>
              <w:t>1</w:t>
            </w:r>
            <w:r>
              <w:rPr>
                <w:rFonts w:hint="eastAsia" w:ascii="宋体" w:cs="宋体"/>
                <w:kern w:val="0"/>
                <w:sz w:val="18"/>
                <w:szCs w:val="18"/>
                <w:lang w:val="zh-CN"/>
              </w:rPr>
              <w:t>2</w:t>
            </w:r>
          </w:p>
        </w:tc>
        <w:tc>
          <w:tcPr>
            <w:tcW w:w="1670" w:type="dxa"/>
            <w:vMerge w:val="continue"/>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after="200" w:line="276" w:lineRule="auto"/>
              <w:jc w:val="left"/>
              <w:rPr>
                <w:rFonts w:ascii="宋体" w:cs="宋体"/>
                <w:kern w:val="0"/>
                <w:sz w:val="22"/>
                <w:szCs w:val="22"/>
                <w:lang w:val="zh-CN"/>
              </w:rPr>
            </w:pPr>
          </w:p>
        </w:tc>
        <w:tc>
          <w:tcPr>
            <w:tcW w:w="1675"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22"/>
                <w:szCs w:val="22"/>
                <w:lang w:val="zh-CN"/>
              </w:rPr>
            </w:pPr>
            <w:r>
              <w:rPr>
                <w:rFonts w:ascii="宋体" w:cs="宋体"/>
                <w:kern w:val="0"/>
                <w:sz w:val="18"/>
                <w:szCs w:val="18"/>
                <w:lang w:val="zh-CN"/>
              </w:rPr>
              <w:t>SO</w:t>
            </w:r>
            <w:r>
              <w:rPr>
                <w:rFonts w:ascii="宋体" w:cs="宋体"/>
                <w:kern w:val="0"/>
                <w:sz w:val="18"/>
                <w:szCs w:val="18"/>
                <w:vertAlign w:val="subscript"/>
                <w:lang w:val="zh-CN"/>
              </w:rPr>
              <w:t>2</w:t>
            </w:r>
          </w:p>
        </w:tc>
        <w:tc>
          <w:tcPr>
            <w:tcW w:w="1455"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22"/>
                <w:szCs w:val="22"/>
                <w:lang w:val="zh-CN"/>
              </w:rPr>
            </w:pPr>
            <w:r>
              <w:rPr>
                <w:rFonts w:hint="eastAsia" w:ascii="宋体" w:cs="宋体"/>
                <w:color w:val="000000"/>
                <w:kern w:val="0"/>
                <w:sz w:val="18"/>
                <w:szCs w:val="18"/>
                <w:lang w:val="zh-CN"/>
              </w:rPr>
              <w:t>万吨</w:t>
            </w:r>
          </w:p>
        </w:tc>
        <w:tc>
          <w:tcPr>
            <w:tcW w:w="930"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hint="eastAsia" w:ascii="宋体" w:cs="宋体"/>
                <w:kern w:val="0"/>
                <w:sz w:val="18"/>
                <w:szCs w:val="18"/>
                <w:lang w:val="zh-CN"/>
              </w:rPr>
              <w:t>5.47</w:t>
            </w:r>
          </w:p>
        </w:tc>
        <w:tc>
          <w:tcPr>
            <w:tcW w:w="990"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hint="eastAsia" w:ascii="宋体" w:cs="宋体"/>
                <w:kern w:val="0"/>
                <w:sz w:val="15"/>
                <w:szCs w:val="15"/>
                <w:lang w:val="zh-CN"/>
              </w:rPr>
              <w:t>达到省要求</w:t>
            </w:r>
          </w:p>
        </w:tc>
        <w:tc>
          <w:tcPr>
            <w:tcW w:w="1085"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hint="eastAsia" w:ascii="宋体" w:cs="宋体"/>
                <w:kern w:val="0"/>
                <w:sz w:val="15"/>
                <w:szCs w:val="15"/>
                <w:lang w:val="zh-CN"/>
              </w:rPr>
              <w:t>达到省要求</w:t>
            </w:r>
          </w:p>
        </w:tc>
      </w:tr>
      <w:tr>
        <w:tblPrEx>
          <w:tblCellMar>
            <w:top w:w="0" w:type="dxa"/>
            <w:left w:w="108" w:type="dxa"/>
            <w:bottom w:w="0" w:type="dxa"/>
            <w:right w:w="108" w:type="dxa"/>
          </w:tblCellMar>
        </w:tblPrEx>
        <w:trPr>
          <w:trHeight w:val="306" w:hRule="atLeast"/>
        </w:trPr>
        <w:tc>
          <w:tcPr>
            <w:tcW w:w="658" w:type="dxa"/>
            <w:vMerge w:val="continue"/>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after="200" w:line="276" w:lineRule="auto"/>
              <w:jc w:val="left"/>
              <w:rPr>
                <w:rFonts w:ascii="宋体" w:cs="宋体"/>
                <w:kern w:val="0"/>
                <w:sz w:val="22"/>
                <w:szCs w:val="22"/>
                <w:lang w:val="zh-CN"/>
              </w:rPr>
            </w:pPr>
          </w:p>
        </w:tc>
        <w:tc>
          <w:tcPr>
            <w:tcW w:w="540"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ascii="宋体" w:cs="宋体"/>
                <w:kern w:val="0"/>
                <w:sz w:val="18"/>
                <w:szCs w:val="18"/>
                <w:lang w:val="zh-CN"/>
              </w:rPr>
              <w:t>1</w:t>
            </w:r>
            <w:r>
              <w:rPr>
                <w:rFonts w:hint="eastAsia" w:ascii="宋体" w:cs="宋体"/>
                <w:kern w:val="0"/>
                <w:sz w:val="18"/>
                <w:szCs w:val="18"/>
                <w:lang w:val="zh-CN"/>
              </w:rPr>
              <w:t>3</w:t>
            </w:r>
          </w:p>
        </w:tc>
        <w:tc>
          <w:tcPr>
            <w:tcW w:w="1670" w:type="dxa"/>
            <w:vMerge w:val="continue"/>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after="200" w:line="276" w:lineRule="auto"/>
              <w:jc w:val="left"/>
              <w:rPr>
                <w:rFonts w:ascii="宋体" w:cs="宋体"/>
                <w:kern w:val="0"/>
                <w:sz w:val="22"/>
                <w:szCs w:val="22"/>
                <w:lang w:val="zh-CN"/>
              </w:rPr>
            </w:pPr>
          </w:p>
        </w:tc>
        <w:tc>
          <w:tcPr>
            <w:tcW w:w="1675"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22"/>
                <w:szCs w:val="22"/>
                <w:lang w:val="zh-CN"/>
              </w:rPr>
            </w:pPr>
            <w:r>
              <w:rPr>
                <w:rFonts w:ascii="宋体" w:cs="宋体"/>
                <w:kern w:val="0"/>
                <w:sz w:val="18"/>
                <w:szCs w:val="18"/>
                <w:lang w:val="zh-CN"/>
              </w:rPr>
              <w:t>NO</w:t>
            </w:r>
            <w:r>
              <w:rPr>
                <w:rFonts w:ascii="宋体" w:cs="宋体"/>
                <w:kern w:val="0"/>
                <w:sz w:val="18"/>
                <w:szCs w:val="18"/>
                <w:vertAlign w:val="subscript"/>
                <w:lang w:val="zh-CN"/>
              </w:rPr>
              <w:t>X</w:t>
            </w:r>
          </w:p>
        </w:tc>
        <w:tc>
          <w:tcPr>
            <w:tcW w:w="1455"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22"/>
                <w:szCs w:val="22"/>
                <w:lang w:val="zh-CN"/>
              </w:rPr>
            </w:pPr>
            <w:r>
              <w:rPr>
                <w:rFonts w:hint="eastAsia" w:ascii="宋体" w:cs="宋体"/>
                <w:color w:val="000000"/>
                <w:kern w:val="0"/>
                <w:sz w:val="18"/>
                <w:szCs w:val="18"/>
                <w:lang w:val="zh-CN"/>
              </w:rPr>
              <w:t>万吨</w:t>
            </w:r>
          </w:p>
        </w:tc>
        <w:tc>
          <w:tcPr>
            <w:tcW w:w="930"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hint="eastAsia" w:ascii="宋体" w:cs="宋体"/>
                <w:kern w:val="0"/>
                <w:sz w:val="18"/>
                <w:szCs w:val="18"/>
                <w:lang w:val="zh-CN"/>
              </w:rPr>
              <w:t>8.16</w:t>
            </w:r>
          </w:p>
        </w:tc>
        <w:tc>
          <w:tcPr>
            <w:tcW w:w="990"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hint="eastAsia" w:ascii="宋体" w:cs="宋体"/>
                <w:kern w:val="0"/>
                <w:sz w:val="15"/>
                <w:szCs w:val="15"/>
                <w:lang w:val="zh-CN"/>
              </w:rPr>
              <w:t>达到省要求</w:t>
            </w:r>
          </w:p>
        </w:tc>
        <w:tc>
          <w:tcPr>
            <w:tcW w:w="1085"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hint="eastAsia" w:ascii="宋体" w:cs="宋体"/>
                <w:kern w:val="0"/>
                <w:sz w:val="15"/>
                <w:szCs w:val="15"/>
                <w:lang w:val="zh-CN"/>
              </w:rPr>
              <w:t>达到省要求</w:t>
            </w:r>
          </w:p>
        </w:tc>
      </w:tr>
      <w:tr>
        <w:tblPrEx>
          <w:tblCellMar>
            <w:top w:w="0" w:type="dxa"/>
            <w:left w:w="108" w:type="dxa"/>
            <w:bottom w:w="0" w:type="dxa"/>
            <w:right w:w="108" w:type="dxa"/>
          </w:tblCellMar>
        </w:tblPrEx>
        <w:trPr>
          <w:trHeight w:val="306" w:hRule="atLeast"/>
        </w:trPr>
        <w:tc>
          <w:tcPr>
            <w:tcW w:w="658" w:type="dxa"/>
            <w:vMerge w:val="continue"/>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after="200" w:line="276" w:lineRule="auto"/>
              <w:jc w:val="left"/>
              <w:rPr>
                <w:rFonts w:ascii="宋体" w:cs="宋体"/>
                <w:kern w:val="0"/>
                <w:sz w:val="22"/>
                <w:szCs w:val="22"/>
                <w:lang w:val="zh-CN"/>
              </w:rPr>
            </w:pPr>
          </w:p>
        </w:tc>
        <w:tc>
          <w:tcPr>
            <w:tcW w:w="540"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hint="eastAsia" w:ascii="宋体" w:cs="宋体"/>
                <w:kern w:val="0"/>
                <w:sz w:val="18"/>
                <w:szCs w:val="18"/>
                <w:lang w:val="zh-CN"/>
              </w:rPr>
              <w:t>14</w:t>
            </w:r>
          </w:p>
        </w:tc>
        <w:tc>
          <w:tcPr>
            <w:tcW w:w="3345" w:type="dxa"/>
            <w:gridSpan w:val="2"/>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22"/>
                <w:szCs w:val="22"/>
                <w:lang w:val="zh-CN"/>
              </w:rPr>
            </w:pPr>
            <w:r>
              <w:rPr>
                <w:rFonts w:hint="eastAsia" w:ascii="宋体" w:cs="宋体"/>
                <w:kern w:val="0"/>
                <w:sz w:val="18"/>
                <w:szCs w:val="18"/>
                <w:lang w:val="zh-CN"/>
              </w:rPr>
              <w:t>重要江河湖泊水功能区水质达标率</w:t>
            </w:r>
          </w:p>
        </w:tc>
        <w:tc>
          <w:tcPr>
            <w:tcW w:w="1455"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22"/>
                <w:szCs w:val="22"/>
                <w:lang w:val="zh-CN"/>
              </w:rPr>
            </w:pPr>
            <w:r>
              <w:rPr>
                <w:rFonts w:ascii="宋体" w:cs="宋体"/>
                <w:color w:val="000000"/>
                <w:kern w:val="0"/>
                <w:sz w:val="18"/>
                <w:szCs w:val="18"/>
                <w:lang w:val="zh-CN"/>
              </w:rPr>
              <w:t>%</w:t>
            </w:r>
          </w:p>
        </w:tc>
        <w:tc>
          <w:tcPr>
            <w:tcW w:w="930"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hint="eastAsia" w:ascii="宋体" w:cs="宋体"/>
                <w:kern w:val="0"/>
                <w:sz w:val="18"/>
                <w:szCs w:val="18"/>
                <w:lang w:val="zh-CN"/>
              </w:rPr>
              <w:t>55</w:t>
            </w:r>
          </w:p>
        </w:tc>
        <w:tc>
          <w:tcPr>
            <w:tcW w:w="990"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hint="eastAsia" w:ascii="宋体" w:cs="宋体"/>
                <w:kern w:val="0"/>
                <w:sz w:val="18"/>
                <w:szCs w:val="18"/>
                <w:lang w:val="zh-CN"/>
              </w:rPr>
              <w:t>70</w:t>
            </w:r>
          </w:p>
        </w:tc>
        <w:tc>
          <w:tcPr>
            <w:tcW w:w="1085"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hint="eastAsia" w:ascii="宋体" w:cs="宋体"/>
                <w:kern w:val="0"/>
                <w:sz w:val="18"/>
                <w:szCs w:val="18"/>
                <w:lang w:val="zh-CN"/>
              </w:rPr>
              <w:t>75</w:t>
            </w:r>
          </w:p>
        </w:tc>
      </w:tr>
      <w:tr>
        <w:tblPrEx>
          <w:tblCellMar>
            <w:top w:w="0" w:type="dxa"/>
            <w:left w:w="108" w:type="dxa"/>
            <w:bottom w:w="0" w:type="dxa"/>
            <w:right w:w="108" w:type="dxa"/>
          </w:tblCellMar>
        </w:tblPrEx>
        <w:trPr>
          <w:trHeight w:val="306" w:hRule="atLeast"/>
        </w:trPr>
        <w:tc>
          <w:tcPr>
            <w:tcW w:w="658" w:type="dxa"/>
            <w:vMerge w:val="continue"/>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after="200" w:line="276" w:lineRule="auto"/>
              <w:jc w:val="left"/>
              <w:rPr>
                <w:rFonts w:ascii="宋体" w:cs="宋体"/>
                <w:kern w:val="0"/>
                <w:sz w:val="22"/>
                <w:szCs w:val="22"/>
                <w:lang w:val="zh-CN"/>
              </w:rPr>
            </w:pPr>
          </w:p>
        </w:tc>
        <w:tc>
          <w:tcPr>
            <w:tcW w:w="540"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hint="eastAsia" w:ascii="宋体" w:cs="宋体"/>
                <w:kern w:val="0"/>
                <w:sz w:val="18"/>
                <w:szCs w:val="18"/>
                <w:lang w:val="zh-CN"/>
              </w:rPr>
              <w:t>15</w:t>
            </w:r>
          </w:p>
        </w:tc>
        <w:tc>
          <w:tcPr>
            <w:tcW w:w="3345" w:type="dxa"/>
            <w:gridSpan w:val="2"/>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22"/>
                <w:szCs w:val="22"/>
                <w:lang w:val="zh-CN"/>
              </w:rPr>
            </w:pPr>
            <w:r>
              <w:rPr>
                <w:rFonts w:hint="eastAsia" w:ascii="宋体" w:cs="宋体"/>
                <w:kern w:val="0"/>
                <w:sz w:val="18"/>
                <w:szCs w:val="18"/>
                <w:lang w:val="zh-CN"/>
              </w:rPr>
              <w:t>城镇污水集中处理率</w:t>
            </w:r>
          </w:p>
        </w:tc>
        <w:tc>
          <w:tcPr>
            <w:tcW w:w="1455"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22"/>
                <w:szCs w:val="22"/>
                <w:lang w:val="zh-CN"/>
              </w:rPr>
            </w:pPr>
            <w:r>
              <w:rPr>
                <w:rFonts w:ascii="宋体" w:cs="宋体"/>
                <w:color w:val="000000"/>
                <w:kern w:val="0"/>
                <w:sz w:val="18"/>
                <w:szCs w:val="18"/>
                <w:lang w:val="zh-CN"/>
              </w:rPr>
              <w:t>%</w:t>
            </w:r>
          </w:p>
        </w:tc>
        <w:tc>
          <w:tcPr>
            <w:tcW w:w="930"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hint="eastAsia" w:ascii="宋体" w:cs="宋体"/>
                <w:kern w:val="0"/>
                <w:sz w:val="18"/>
                <w:szCs w:val="18"/>
                <w:lang w:val="zh-CN"/>
              </w:rPr>
              <w:t>70</w:t>
            </w:r>
          </w:p>
        </w:tc>
        <w:tc>
          <w:tcPr>
            <w:tcW w:w="990"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hint="eastAsia" w:ascii="宋体" w:cs="宋体"/>
                <w:kern w:val="0"/>
                <w:sz w:val="18"/>
                <w:szCs w:val="18"/>
                <w:lang w:val="zh-CN"/>
              </w:rPr>
              <w:t>93</w:t>
            </w:r>
          </w:p>
        </w:tc>
        <w:tc>
          <w:tcPr>
            <w:tcW w:w="1085"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hint="eastAsia" w:ascii="宋体" w:cs="宋体"/>
                <w:kern w:val="0"/>
                <w:sz w:val="18"/>
                <w:szCs w:val="18"/>
                <w:lang w:val="zh-CN"/>
              </w:rPr>
              <w:t>95</w:t>
            </w:r>
          </w:p>
        </w:tc>
      </w:tr>
      <w:tr>
        <w:tblPrEx>
          <w:tblCellMar>
            <w:top w:w="0" w:type="dxa"/>
            <w:left w:w="108" w:type="dxa"/>
            <w:bottom w:w="0" w:type="dxa"/>
            <w:right w:w="108" w:type="dxa"/>
          </w:tblCellMar>
        </w:tblPrEx>
        <w:trPr>
          <w:trHeight w:val="306" w:hRule="atLeast"/>
        </w:trPr>
        <w:tc>
          <w:tcPr>
            <w:tcW w:w="658" w:type="dxa"/>
            <w:vMerge w:val="continue"/>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after="200" w:line="276" w:lineRule="auto"/>
              <w:jc w:val="left"/>
              <w:rPr>
                <w:rFonts w:ascii="宋体" w:cs="宋体"/>
                <w:kern w:val="0"/>
                <w:sz w:val="22"/>
                <w:szCs w:val="22"/>
                <w:lang w:val="zh-CN"/>
              </w:rPr>
            </w:pPr>
          </w:p>
        </w:tc>
        <w:tc>
          <w:tcPr>
            <w:tcW w:w="540"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22"/>
                <w:szCs w:val="22"/>
                <w:lang w:val="zh-CN"/>
              </w:rPr>
            </w:pPr>
            <w:r>
              <w:rPr>
                <w:rFonts w:hint="eastAsia" w:ascii="宋体" w:cs="宋体"/>
                <w:kern w:val="0"/>
                <w:sz w:val="18"/>
                <w:szCs w:val="18"/>
                <w:lang w:val="zh-CN"/>
              </w:rPr>
              <w:t>16</w:t>
            </w:r>
          </w:p>
        </w:tc>
        <w:tc>
          <w:tcPr>
            <w:tcW w:w="3345" w:type="dxa"/>
            <w:gridSpan w:val="2"/>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22"/>
                <w:szCs w:val="22"/>
                <w:lang w:val="zh-CN"/>
              </w:rPr>
            </w:pPr>
            <w:r>
              <w:rPr>
                <w:rFonts w:hint="eastAsia" w:ascii="宋体" w:cs="宋体"/>
                <w:kern w:val="0"/>
                <w:sz w:val="18"/>
                <w:szCs w:val="18"/>
                <w:lang w:val="zh-CN"/>
              </w:rPr>
              <w:t>城镇生活垃圾无害化处理率</w:t>
            </w:r>
          </w:p>
        </w:tc>
        <w:tc>
          <w:tcPr>
            <w:tcW w:w="1455"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22"/>
                <w:szCs w:val="22"/>
                <w:lang w:val="zh-CN"/>
              </w:rPr>
            </w:pPr>
            <w:r>
              <w:rPr>
                <w:rFonts w:ascii="宋体" w:cs="宋体"/>
                <w:color w:val="000000"/>
                <w:kern w:val="0"/>
                <w:sz w:val="18"/>
                <w:szCs w:val="18"/>
                <w:lang w:val="zh-CN"/>
              </w:rPr>
              <w:t>%</w:t>
            </w:r>
          </w:p>
        </w:tc>
        <w:tc>
          <w:tcPr>
            <w:tcW w:w="930"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hint="eastAsia" w:ascii="宋体" w:cs="宋体"/>
                <w:kern w:val="0"/>
                <w:sz w:val="18"/>
                <w:szCs w:val="18"/>
                <w:lang w:val="zh-CN"/>
              </w:rPr>
              <w:t>65</w:t>
            </w:r>
          </w:p>
        </w:tc>
        <w:tc>
          <w:tcPr>
            <w:tcW w:w="990"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hint="eastAsia" w:ascii="宋体" w:cs="宋体"/>
                <w:kern w:val="0"/>
                <w:sz w:val="18"/>
                <w:szCs w:val="18"/>
                <w:lang w:val="zh-CN"/>
              </w:rPr>
              <w:t>90</w:t>
            </w:r>
          </w:p>
        </w:tc>
        <w:tc>
          <w:tcPr>
            <w:tcW w:w="1085" w:type="dxa"/>
            <w:tcBorders>
              <w:top w:val="single" w:color="000000" w:sz="2" w:space="0"/>
              <w:left w:val="single" w:color="000000" w:sz="2" w:space="0"/>
              <w:bottom w:val="single" w:color="000000" w:sz="2" w:space="0"/>
              <w:right w:val="single" w:color="000000" w:sz="2" w:space="0"/>
            </w:tcBorders>
            <w:shd w:val="clear" w:color="000000" w:fill="FFFFFF"/>
            <w:vAlign w:val="center"/>
          </w:tcPr>
          <w:p>
            <w:pPr>
              <w:autoSpaceDE w:val="0"/>
              <w:autoSpaceDN w:val="0"/>
              <w:adjustRightInd w:val="0"/>
              <w:spacing w:line="300" w:lineRule="atLeast"/>
              <w:jc w:val="center"/>
              <w:rPr>
                <w:rFonts w:ascii="宋体" w:cs="宋体"/>
                <w:kern w:val="0"/>
                <w:sz w:val="18"/>
                <w:szCs w:val="18"/>
                <w:lang w:val="zh-CN"/>
              </w:rPr>
            </w:pPr>
            <w:r>
              <w:rPr>
                <w:rFonts w:hint="eastAsia" w:ascii="宋体" w:cs="宋体"/>
                <w:kern w:val="0"/>
                <w:sz w:val="18"/>
                <w:szCs w:val="18"/>
                <w:lang w:val="zh-CN"/>
              </w:rPr>
              <w:t>95</w:t>
            </w:r>
          </w:p>
        </w:tc>
      </w:tr>
    </w:tbl>
    <w:p>
      <w:pPr>
        <w:pStyle w:val="2"/>
      </w:pPr>
      <w:bookmarkStart w:id="10" w:name="_Toc445718887"/>
      <w:r>
        <w:rPr>
          <w:rFonts w:hint="eastAsia"/>
        </w:rPr>
        <w:t>三、总体布局</w:t>
      </w:r>
      <w:bookmarkEnd w:id="10"/>
    </w:p>
    <w:p>
      <w:pPr>
        <w:ind w:firstLine="640" w:firstLineChars="200"/>
        <w:rPr>
          <w:rFonts w:ascii="仿宋_GB2312" w:hAnsi="楷体_GB2312" w:eastAsia="仿宋_GB2312" w:cs="楷体_GB2312"/>
          <w:bCs/>
          <w:sz w:val="32"/>
          <w:szCs w:val="32"/>
        </w:rPr>
      </w:pPr>
      <w:r>
        <w:rPr>
          <w:rFonts w:hint="eastAsia" w:ascii="仿宋_GB2312" w:hAnsi="楷体_GB2312" w:eastAsia="仿宋_GB2312" w:cs="楷体_GB2312"/>
          <w:bCs/>
          <w:sz w:val="32"/>
          <w:szCs w:val="32"/>
        </w:rPr>
        <w:t>依据全市自然生态环境特点，统筹考虑不同区域承担的生态服务功能，在有关生态建设规划的基础上，将全市生态修复与保护空间划分为四个区域，明确各区域的空间范围、生态特征、突出问题、功能定位和修复方向。</w:t>
      </w:r>
    </w:p>
    <w:p>
      <w:pPr>
        <w:pStyle w:val="3"/>
      </w:pPr>
      <w:bookmarkStart w:id="11" w:name="_Toc445718888"/>
      <w:r>
        <w:rPr>
          <w:rFonts w:hint="eastAsia"/>
        </w:rPr>
        <w:t>（一）东北部低山丘陵生态修复区</w:t>
      </w:r>
      <w:bookmarkEnd w:id="11"/>
    </w:p>
    <w:p>
      <w:pPr>
        <w:ind w:firstLine="640" w:firstLineChars="200"/>
        <w:rPr>
          <w:rFonts w:ascii="仿宋_GB2312" w:hAnsi="楷体_GB2312" w:eastAsia="仿宋_GB2312" w:cs="楷体_GB2312"/>
          <w:bCs/>
          <w:sz w:val="32"/>
          <w:szCs w:val="32"/>
        </w:rPr>
      </w:pPr>
      <w:r>
        <w:rPr>
          <w:rFonts w:hint="eastAsia" w:ascii="仿宋_GB2312" w:hAnsi="楷体_GB2312" w:eastAsia="仿宋_GB2312" w:cs="楷体_GB2312"/>
          <w:bCs/>
          <w:sz w:val="32"/>
          <w:szCs w:val="32"/>
        </w:rPr>
        <w:t>范围包括三河市黄土庄镇和段甲岭镇，面积119.5平方公里。区内有丘陵、台地、山间盆地和山麓平原四个地貌类型，以丘陵为主。存在的主要问题是矿产资源无序开发，并存在一定程度的水土流失。主导生态功能是生物多样性保护，辅助生态功能是水土保持。该区生态建设的重点是对矿山开发实行有序管理，对受到破坏的山体进行逐步生态恢复，加强蒋福山自然保护区的管理，防治水土流失。</w:t>
      </w:r>
    </w:p>
    <w:p>
      <w:pPr>
        <w:pStyle w:val="3"/>
      </w:pPr>
      <w:bookmarkStart w:id="12" w:name="_Toc445718889"/>
      <w:r>
        <w:rPr>
          <w:rFonts w:hint="eastAsia"/>
        </w:rPr>
        <w:t>（二）北部冲积平原生态修复区</w:t>
      </w:r>
      <w:bookmarkEnd w:id="12"/>
    </w:p>
    <w:p>
      <w:pPr>
        <w:ind w:firstLine="640" w:firstLineChars="200"/>
        <w:rPr>
          <w:rFonts w:ascii="仿宋_GB2312" w:hAnsi="楷体_GB2312" w:eastAsia="仿宋_GB2312" w:cs="楷体_GB2312"/>
          <w:bCs/>
          <w:sz w:val="32"/>
          <w:szCs w:val="32"/>
        </w:rPr>
      </w:pPr>
      <w:r>
        <w:rPr>
          <w:rFonts w:hint="eastAsia" w:ascii="仿宋_GB2312" w:hAnsi="楷体_GB2312" w:eastAsia="仿宋_GB2312" w:cs="楷体_GB2312"/>
          <w:bCs/>
          <w:sz w:val="32"/>
          <w:szCs w:val="32"/>
        </w:rPr>
        <w:t>范围包括三河市（不含黄土庄镇和段甲岭镇）、大厂县和香河县，面积1146.5平方公里。地貌类型为山麓平原和冲积平原，间有缓坡、缓岗和洼地，以山麓平原为主。地表水系水量、水质存在跨市域调度问题，浅层地下水存在超采问题。主要生态功能为农业生产、水源涵养、水利调蓄。生态建设重点是全面实施节水灌溉工程，改善地表水质，涵养地下水源，完善河流湿地功能，加强农田林网及道路绿化建设，发展以无公害、绿色及有机食品生产为主的高效优质农业。</w:t>
      </w:r>
    </w:p>
    <w:p>
      <w:pPr>
        <w:pStyle w:val="3"/>
      </w:pPr>
      <w:bookmarkStart w:id="13" w:name="_Toc445718890"/>
      <w:r>
        <w:rPr>
          <w:rFonts w:hint="eastAsia"/>
        </w:rPr>
        <w:t>（三）中部冲积平原生态修复区</w:t>
      </w:r>
      <w:bookmarkEnd w:id="13"/>
    </w:p>
    <w:p>
      <w:pPr>
        <w:ind w:firstLine="640" w:firstLineChars="200"/>
        <w:rPr>
          <w:rFonts w:ascii="仿宋_GB2312" w:hAnsi="楷体_GB2312" w:eastAsia="仿宋_GB2312" w:cs="楷体_GB2312"/>
          <w:bCs/>
          <w:sz w:val="32"/>
          <w:szCs w:val="32"/>
        </w:rPr>
      </w:pPr>
      <w:r>
        <w:rPr>
          <w:rFonts w:hint="eastAsia" w:ascii="仿宋_GB2312" w:hAnsi="楷体_GB2312" w:eastAsia="仿宋_GB2312" w:cs="楷体_GB2312"/>
          <w:bCs/>
          <w:sz w:val="32"/>
          <w:szCs w:val="32"/>
        </w:rPr>
        <w:t>范围包括广阳区、安次区、固安县、永清县和霸州市，面积3235.1平方公里。为永定河、大清河冲积平原，河流故道区有带状分布的固定和半固定沙地。存在严重的浅层地下水和深层地下水超采问题。主要生态功能为水源涵养、水利调蓄、风沙防治、农业生产等。生态建设重点是强化地下水超采综合治理，大力改善灌溉方式，减少灌溉用水，涵养水源，加强水利设施的建设和水环境治理。加强永定河故道的风沙治理，加强环城（镇）、环村以及道路、水系绿廊建设，加强农田林网建设，改善林分林相，提高森林覆盖率。</w:t>
      </w:r>
    </w:p>
    <w:p>
      <w:pPr>
        <w:pStyle w:val="3"/>
      </w:pPr>
      <w:bookmarkStart w:id="14" w:name="_Toc445718891"/>
      <w:r>
        <w:rPr>
          <w:rFonts w:hint="eastAsia"/>
        </w:rPr>
        <w:t>（四）南部低平原生态修复区</w:t>
      </w:r>
      <w:bookmarkEnd w:id="14"/>
    </w:p>
    <w:p>
      <w:pPr>
        <w:ind w:firstLine="640" w:firstLineChars="200"/>
        <w:rPr>
          <w:rFonts w:ascii="仿宋_GB2312" w:hAnsi="楷体_GB2312" w:eastAsia="仿宋_GB2312" w:cs="楷体_GB2312"/>
          <w:bCs/>
          <w:sz w:val="32"/>
          <w:szCs w:val="32"/>
        </w:rPr>
      </w:pPr>
      <w:r>
        <w:rPr>
          <w:rFonts w:hint="eastAsia" w:ascii="仿宋_GB2312" w:hAnsi="楷体_GB2312" w:eastAsia="仿宋_GB2312" w:cs="楷体_GB2312"/>
          <w:bCs/>
          <w:sz w:val="32"/>
          <w:szCs w:val="32"/>
        </w:rPr>
        <w:t>范围包括文安县和大城县，面积1927.9平方公里。主要生态问题是地下水严重超采，已形成地下漏斗。主要生态功能为水利调蓄、水源涵养、湿地资源与生物多样性保护、农业生产等。生态建设重点是加强水利设施的建设和水环境治理，严格控制地下水超采，积极开拓地表水源，大力改善水质，着力推进湿地生态修复和农业灌溉方式改进。加强城乡绿化建设，打造廊南美丽乡村。实施中低产田改造，建设规模化高标准农田，发展无公害、绿色及有机食品。</w:t>
      </w:r>
    </w:p>
    <w:p>
      <w:pPr>
        <w:pStyle w:val="2"/>
      </w:pPr>
      <w:bookmarkStart w:id="15" w:name="_Toc445718892"/>
      <w:r>
        <w:rPr>
          <w:rFonts w:hint="eastAsia"/>
        </w:rPr>
        <w:t>四、资源环境生态红线</w:t>
      </w:r>
      <w:bookmarkEnd w:id="15"/>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树立底线思维，设定并严守资源消耗上限、环境质量底线、生态保护红线，将各类开发活动限制在资源环境承载能力之内。</w:t>
      </w:r>
    </w:p>
    <w:p>
      <w:pPr>
        <w:pStyle w:val="3"/>
      </w:pPr>
      <w:bookmarkStart w:id="16" w:name="_Toc445718893"/>
      <w:r>
        <w:rPr>
          <w:rFonts w:hint="eastAsia"/>
        </w:rPr>
        <w:t>（一）生态保护红线</w:t>
      </w:r>
      <w:bookmarkEnd w:id="16"/>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着力扩大生态空间，以配套的管制措施严管生态空间红线，合理设定森林、湿地等生态产品红线，增强生态产品生产能力，保障区域生态安全。</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1、生态空间红线</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落实国家有关法律法规要求，在重点生态功能区（湿地公园、自然保护区、森林公园）、生态环境敏感区和脆弱区等区域划定生态保护红线，确定空间开发控制范围，在红线区域范围内实行“准入清单”管理，严格保护各类生态用地，恢复保留生态空间。</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2、生态产品红线</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（1）森林红线</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森林面积红线。到2017年，全市有林地面积达到19.3   万公顷，2020年达到 20.6万公顷。</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（2）湿地红线</w:t>
      </w:r>
    </w:p>
    <w:p>
      <w:pPr>
        <w:ind w:firstLine="640" w:firstLineChars="200"/>
        <w:rPr>
          <w:rFonts w:ascii="仿宋_GB2312" w:hAnsi="仿宋_GB2312" w:eastAsia="仿宋_GB2312" w:cs="仿宋_GB2312"/>
          <w:color w:val="000000" w:themeColor="text1"/>
          <w:sz w:val="32"/>
          <w:szCs w:val="32"/>
        </w:rPr>
      </w:pPr>
      <w:r>
        <w:rPr>
          <w:rFonts w:hint="eastAsia" w:ascii="仿宋_GB2312" w:hAnsi="仿宋_GB2312" w:eastAsia="仿宋_GB2312" w:cs="仿宋_GB2312"/>
          <w:sz w:val="32"/>
          <w:szCs w:val="32"/>
        </w:rPr>
        <w:t>按照湿地生态红线划定原则，充分发挥湿地生态系统的多种生态功效前提下，在保障区域生态安全、国土安全、淡水安全和粮食安全的基础上设定湿地红线</w:t>
      </w:r>
      <w:r>
        <w:rPr>
          <w:rFonts w:hint="eastAsia" w:ascii="仿宋_GB2312" w:hAnsi="仿宋_GB2312" w:eastAsia="仿宋_GB2312" w:cs="仿宋_GB2312"/>
          <w:color w:val="000000" w:themeColor="text1"/>
          <w:sz w:val="32"/>
          <w:szCs w:val="32"/>
        </w:rPr>
        <w:t>。</w:t>
      </w:r>
    </w:p>
    <w:p>
      <w:pPr>
        <w:pStyle w:val="3"/>
      </w:pPr>
      <w:bookmarkStart w:id="17" w:name="_Toc445718894"/>
      <w:r>
        <w:rPr>
          <w:rFonts w:hint="eastAsia"/>
        </w:rPr>
        <w:t>（二）环境质量底线</w:t>
      </w:r>
      <w:bookmarkEnd w:id="17"/>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水环境质量底线。到2017年，全市集中式饮用水水源水质达到或优于</w:t>
      </w:r>
      <w:r>
        <w:rPr>
          <w:rFonts w:hint="eastAsia"/>
          <w:sz w:val="32"/>
          <w:szCs w:val="32"/>
        </w:rPr>
        <w:t>Ⅲ</w:t>
      </w:r>
      <w:r>
        <w:rPr>
          <w:rFonts w:hint="eastAsia" w:ascii="仿宋_GB2312" w:hAnsi="仿宋_GB2312" w:eastAsia="仿宋_GB2312" w:cs="仿宋_GB2312"/>
          <w:sz w:val="32"/>
          <w:szCs w:val="32"/>
        </w:rPr>
        <w:t>类比例达到100%。地下水质量极差的比例控制在7.7%左右。丧失使用功能的地表水断面比例比2014年下降11个百分点左右。到2020年，全市集中式饮用水水源水质达到或优于</w:t>
      </w:r>
      <w:r>
        <w:rPr>
          <w:rFonts w:hint="eastAsia"/>
          <w:sz w:val="32"/>
          <w:szCs w:val="32"/>
        </w:rPr>
        <w:t>Ⅲ</w:t>
      </w:r>
      <w:r>
        <w:rPr>
          <w:rFonts w:hint="eastAsia" w:ascii="仿宋_GB2312" w:hAnsi="仿宋_GB2312" w:eastAsia="仿宋_GB2312" w:cs="仿宋_GB2312"/>
          <w:sz w:val="32"/>
          <w:szCs w:val="32"/>
        </w:rPr>
        <w:t>类比例稳定保持在100%。地下水质量极差的比例控制在7.7%左右。丧失使用功能的地表水断面比例比2014年下降20个百分点左右。廊坊国控考核断面（点位）水质目标详见表2。</w:t>
      </w:r>
    </w:p>
    <w:tbl>
      <w:tblPr>
        <w:tblStyle w:val="10"/>
        <w:tblpPr w:leftFromText="180" w:rightFromText="180" w:vertAnchor="text" w:horzAnchor="margin" w:tblpY="708"/>
        <w:tblW w:w="874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6"/>
        <w:gridCol w:w="1209"/>
        <w:gridCol w:w="1003"/>
        <w:gridCol w:w="840"/>
        <w:gridCol w:w="1148"/>
        <w:gridCol w:w="868"/>
        <w:gridCol w:w="1699"/>
        <w:gridCol w:w="13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blHeader/>
        </w:trPr>
        <w:tc>
          <w:tcPr>
            <w:tcW w:w="656"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序号</w:t>
            </w:r>
          </w:p>
        </w:tc>
        <w:tc>
          <w:tcPr>
            <w:tcW w:w="1209"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河流</w:t>
            </w:r>
          </w:p>
          <w:p>
            <w:pPr>
              <w:topLinePunct/>
              <w:spacing w:line="340" w:lineRule="exact"/>
              <w:jc w:val="center"/>
              <w:rPr>
                <w:rFonts w:ascii="Tahoma" w:hAnsi="Tahoma" w:cs="Tahoma"/>
                <w:szCs w:val="21"/>
              </w:rPr>
            </w:pPr>
            <w:r>
              <w:rPr>
                <w:rFonts w:ascii="Tahoma" w:hAnsi="宋体" w:cs="Tahoma"/>
                <w:szCs w:val="21"/>
              </w:rPr>
              <w:t>（湖库）</w:t>
            </w:r>
          </w:p>
        </w:tc>
        <w:tc>
          <w:tcPr>
            <w:tcW w:w="1003"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断面</w:t>
            </w:r>
          </w:p>
          <w:p>
            <w:pPr>
              <w:topLinePunct/>
              <w:spacing w:line="340" w:lineRule="exact"/>
              <w:jc w:val="center"/>
              <w:rPr>
                <w:rFonts w:ascii="Tahoma" w:hAnsi="Tahoma" w:cs="Tahoma"/>
                <w:szCs w:val="21"/>
              </w:rPr>
            </w:pPr>
            <w:r>
              <w:rPr>
                <w:rFonts w:ascii="Tahoma" w:hAnsi="宋体" w:cs="Tahoma"/>
                <w:szCs w:val="21"/>
              </w:rPr>
              <w:t>（点位）</w:t>
            </w:r>
          </w:p>
        </w:tc>
        <w:tc>
          <w:tcPr>
            <w:tcW w:w="840"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断面类型</w:t>
            </w:r>
          </w:p>
        </w:tc>
        <w:tc>
          <w:tcPr>
            <w:tcW w:w="1148"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断面属性</w:t>
            </w:r>
          </w:p>
        </w:tc>
        <w:tc>
          <w:tcPr>
            <w:tcW w:w="868"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断面级别</w:t>
            </w:r>
          </w:p>
        </w:tc>
        <w:tc>
          <w:tcPr>
            <w:tcW w:w="1699"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Tahoma" w:cs="Tahoma"/>
                <w:szCs w:val="21"/>
              </w:rPr>
              <w:t>2017</w:t>
            </w:r>
            <w:r>
              <w:rPr>
                <w:rFonts w:ascii="Tahoma" w:hAnsi="宋体" w:cs="Tahoma"/>
                <w:szCs w:val="21"/>
              </w:rPr>
              <w:t>年水质目标</w:t>
            </w:r>
          </w:p>
        </w:tc>
        <w:tc>
          <w:tcPr>
            <w:tcW w:w="1326"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Tahoma" w:cs="Tahoma"/>
                <w:szCs w:val="21"/>
              </w:rPr>
              <w:t>2020</w:t>
            </w:r>
            <w:r>
              <w:rPr>
                <w:rFonts w:ascii="Tahoma" w:hAnsi="宋体" w:cs="Tahoma"/>
                <w:szCs w:val="21"/>
              </w:rPr>
              <w:t>年水质目标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56"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Tahoma" w:cs="Tahoma"/>
                <w:szCs w:val="21"/>
              </w:rPr>
              <w:t>1</w:t>
            </w:r>
          </w:p>
        </w:tc>
        <w:tc>
          <w:tcPr>
            <w:tcW w:w="1209"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北运河</w:t>
            </w:r>
          </w:p>
        </w:tc>
        <w:tc>
          <w:tcPr>
            <w:tcW w:w="1003"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土门楼</w:t>
            </w:r>
          </w:p>
        </w:tc>
        <w:tc>
          <w:tcPr>
            <w:tcW w:w="840"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河流</w:t>
            </w:r>
          </w:p>
        </w:tc>
        <w:tc>
          <w:tcPr>
            <w:tcW w:w="1148"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省界</w:t>
            </w:r>
          </w:p>
          <w:p>
            <w:pPr>
              <w:topLinePunct/>
              <w:spacing w:line="340" w:lineRule="exact"/>
              <w:jc w:val="center"/>
              <w:rPr>
                <w:rFonts w:ascii="Tahoma" w:hAnsi="Tahoma" w:cs="Tahoma"/>
                <w:szCs w:val="21"/>
              </w:rPr>
            </w:pPr>
            <w:r>
              <w:rPr>
                <w:rFonts w:ascii="Tahoma" w:hAnsi="宋体" w:cs="Tahoma"/>
                <w:szCs w:val="21"/>
              </w:rPr>
              <w:t>（冀－津）</w:t>
            </w:r>
          </w:p>
        </w:tc>
        <w:tc>
          <w:tcPr>
            <w:tcW w:w="868"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国控</w:t>
            </w:r>
          </w:p>
        </w:tc>
        <w:tc>
          <w:tcPr>
            <w:tcW w:w="1699"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氨氮</w:t>
            </w:r>
            <w:r>
              <w:rPr>
                <w:rFonts w:ascii="Tahoma" w:hAnsi="Tahoma" w:cs="Tahoma"/>
                <w:szCs w:val="21"/>
              </w:rPr>
              <w:t>≤5mg/L</w:t>
            </w:r>
            <w:r>
              <w:rPr>
                <w:rFonts w:ascii="Tahoma" w:hAnsi="宋体" w:cs="Tahoma"/>
                <w:szCs w:val="21"/>
              </w:rPr>
              <w:t>，其余指标达Ⅴ类</w:t>
            </w:r>
          </w:p>
        </w:tc>
        <w:tc>
          <w:tcPr>
            <w:tcW w:w="1326"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56"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Tahoma" w:cs="Tahoma"/>
                <w:szCs w:val="21"/>
              </w:rPr>
              <w:t>2</w:t>
            </w:r>
          </w:p>
        </w:tc>
        <w:tc>
          <w:tcPr>
            <w:tcW w:w="1209"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潮白新河</w:t>
            </w:r>
          </w:p>
        </w:tc>
        <w:tc>
          <w:tcPr>
            <w:tcW w:w="1003"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大套桥</w:t>
            </w:r>
          </w:p>
        </w:tc>
        <w:tc>
          <w:tcPr>
            <w:tcW w:w="840"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河流</w:t>
            </w:r>
          </w:p>
        </w:tc>
        <w:tc>
          <w:tcPr>
            <w:tcW w:w="1148"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省界</w:t>
            </w:r>
          </w:p>
          <w:p>
            <w:pPr>
              <w:topLinePunct/>
              <w:spacing w:line="340" w:lineRule="exact"/>
              <w:jc w:val="center"/>
              <w:rPr>
                <w:rFonts w:ascii="Tahoma" w:hAnsi="Tahoma" w:cs="Tahoma"/>
                <w:szCs w:val="21"/>
              </w:rPr>
            </w:pPr>
            <w:r>
              <w:rPr>
                <w:rFonts w:ascii="Tahoma" w:hAnsi="宋体" w:cs="Tahoma"/>
                <w:szCs w:val="21"/>
              </w:rPr>
              <w:t>（冀－津）</w:t>
            </w:r>
          </w:p>
        </w:tc>
        <w:tc>
          <w:tcPr>
            <w:tcW w:w="868"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国控</w:t>
            </w:r>
          </w:p>
        </w:tc>
        <w:tc>
          <w:tcPr>
            <w:tcW w:w="1699"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Ⅴ</w:t>
            </w:r>
          </w:p>
        </w:tc>
        <w:tc>
          <w:tcPr>
            <w:tcW w:w="1326"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56"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Tahoma" w:cs="Tahoma"/>
                <w:szCs w:val="21"/>
              </w:rPr>
              <w:t>3</w:t>
            </w:r>
          </w:p>
        </w:tc>
        <w:tc>
          <w:tcPr>
            <w:tcW w:w="1209"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龙河</w:t>
            </w:r>
          </w:p>
        </w:tc>
        <w:tc>
          <w:tcPr>
            <w:tcW w:w="1003"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大王务</w:t>
            </w:r>
          </w:p>
        </w:tc>
        <w:tc>
          <w:tcPr>
            <w:tcW w:w="840"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河流</w:t>
            </w:r>
          </w:p>
        </w:tc>
        <w:tc>
          <w:tcPr>
            <w:tcW w:w="1148"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省界</w:t>
            </w:r>
          </w:p>
          <w:p>
            <w:pPr>
              <w:topLinePunct/>
              <w:spacing w:line="340" w:lineRule="exact"/>
              <w:jc w:val="center"/>
              <w:rPr>
                <w:rFonts w:ascii="Tahoma" w:hAnsi="Tahoma" w:cs="Tahoma"/>
                <w:szCs w:val="21"/>
              </w:rPr>
            </w:pPr>
            <w:r>
              <w:rPr>
                <w:rFonts w:ascii="Tahoma" w:hAnsi="宋体" w:cs="Tahoma"/>
                <w:szCs w:val="21"/>
              </w:rPr>
              <w:t>（冀－津）</w:t>
            </w:r>
          </w:p>
        </w:tc>
        <w:tc>
          <w:tcPr>
            <w:tcW w:w="868"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国控</w:t>
            </w:r>
          </w:p>
        </w:tc>
        <w:tc>
          <w:tcPr>
            <w:tcW w:w="1699"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Ⅴ</w:t>
            </w:r>
          </w:p>
        </w:tc>
        <w:tc>
          <w:tcPr>
            <w:tcW w:w="1326"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56"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Tahoma" w:cs="Tahoma"/>
                <w:szCs w:val="21"/>
              </w:rPr>
              <w:t>4</w:t>
            </w:r>
          </w:p>
        </w:tc>
        <w:tc>
          <w:tcPr>
            <w:tcW w:w="1209"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泃河</w:t>
            </w:r>
          </w:p>
        </w:tc>
        <w:tc>
          <w:tcPr>
            <w:tcW w:w="1003"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三河东大桥</w:t>
            </w:r>
          </w:p>
        </w:tc>
        <w:tc>
          <w:tcPr>
            <w:tcW w:w="840"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河流</w:t>
            </w:r>
          </w:p>
        </w:tc>
        <w:tc>
          <w:tcPr>
            <w:tcW w:w="1148"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省界</w:t>
            </w:r>
          </w:p>
          <w:p>
            <w:pPr>
              <w:topLinePunct/>
              <w:spacing w:line="340" w:lineRule="exact"/>
              <w:jc w:val="center"/>
              <w:rPr>
                <w:rFonts w:ascii="Tahoma" w:hAnsi="Tahoma" w:cs="Tahoma"/>
                <w:szCs w:val="21"/>
              </w:rPr>
            </w:pPr>
            <w:r>
              <w:rPr>
                <w:rFonts w:ascii="Tahoma" w:hAnsi="宋体" w:cs="Tahoma"/>
                <w:szCs w:val="21"/>
              </w:rPr>
              <w:t>（冀</w:t>
            </w:r>
            <w:r>
              <w:rPr>
                <w:rFonts w:ascii="Tahoma" w:hAnsi="Tahoma" w:cs="Tahoma"/>
                <w:szCs w:val="21"/>
              </w:rPr>
              <w:t>-</w:t>
            </w:r>
            <w:r>
              <w:rPr>
                <w:rFonts w:ascii="Tahoma" w:hAnsi="宋体" w:cs="Tahoma"/>
                <w:szCs w:val="21"/>
              </w:rPr>
              <w:t>津）</w:t>
            </w:r>
          </w:p>
        </w:tc>
        <w:tc>
          <w:tcPr>
            <w:tcW w:w="868"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省控</w:t>
            </w:r>
          </w:p>
        </w:tc>
        <w:tc>
          <w:tcPr>
            <w:tcW w:w="1699"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氨氮</w:t>
            </w:r>
            <w:r>
              <w:rPr>
                <w:rFonts w:ascii="Tahoma" w:hAnsi="Tahoma" w:cs="Tahoma"/>
                <w:szCs w:val="21"/>
              </w:rPr>
              <w:t>≤4mg/L</w:t>
            </w:r>
            <w:r>
              <w:rPr>
                <w:rFonts w:ascii="Tahoma" w:hAnsi="宋体" w:cs="Tahoma"/>
                <w:szCs w:val="21"/>
              </w:rPr>
              <w:t>，其余指标达Ⅴ类</w:t>
            </w:r>
          </w:p>
        </w:tc>
        <w:tc>
          <w:tcPr>
            <w:tcW w:w="1326"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56"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Tahoma" w:cs="Tahoma"/>
                <w:szCs w:val="21"/>
              </w:rPr>
              <w:t>5</w:t>
            </w:r>
          </w:p>
        </w:tc>
        <w:tc>
          <w:tcPr>
            <w:tcW w:w="1209"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潮白河</w:t>
            </w:r>
          </w:p>
        </w:tc>
        <w:tc>
          <w:tcPr>
            <w:tcW w:w="1003"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吴村</w:t>
            </w:r>
          </w:p>
        </w:tc>
        <w:tc>
          <w:tcPr>
            <w:tcW w:w="840"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河流</w:t>
            </w:r>
          </w:p>
        </w:tc>
        <w:tc>
          <w:tcPr>
            <w:tcW w:w="1148"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省界</w:t>
            </w:r>
          </w:p>
          <w:p>
            <w:pPr>
              <w:topLinePunct/>
              <w:spacing w:line="340" w:lineRule="exact"/>
              <w:jc w:val="center"/>
              <w:rPr>
                <w:rFonts w:ascii="Tahoma" w:hAnsi="Tahoma" w:cs="Tahoma"/>
                <w:szCs w:val="21"/>
              </w:rPr>
            </w:pPr>
            <w:r>
              <w:rPr>
                <w:rFonts w:ascii="Tahoma" w:hAnsi="宋体" w:cs="Tahoma"/>
                <w:szCs w:val="21"/>
              </w:rPr>
              <w:t>（京</w:t>
            </w:r>
            <w:r>
              <w:rPr>
                <w:rFonts w:ascii="Tahoma" w:hAnsi="Tahoma" w:cs="Tahoma"/>
                <w:szCs w:val="21"/>
              </w:rPr>
              <w:t>-</w:t>
            </w:r>
            <w:r>
              <w:rPr>
                <w:rFonts w:ascii="Tahoma" w:hAnsi="宋体" w:cs="Tahoma"/>
                <w:szCs w:val="21"/>
              </w:rPr>
              <w:t>冀）</w:t>
            </w:r>
          </w:p>
        </w:tc>
        <w:tc>
          <w:tcPr>
            <w:tcW w:w="868"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省控</w:t>
            </w:r>
          </w:p>
        </w:tc>
        <w:tc>
          <w:tcPr>
            <w:tcW w:w="1699"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氨氮</w:t>
            </w:r>
            <w:r>
              <w:rPr>
                <w:rFonts w:ascii="Tahoma" w:hAnsi="Tahoma" w:cs="Tahoma"/>
                <w:szCs w:val="21"/>
              </w:rPr>
              <w:t>≤5mg/L</w:t>
            </w:r>
            <w:r>
              <w:rPr>
                <w:rFonts w:ascii="Tahoma" w:hAnsi="宋体" w:cs="Tahoma"/>
                <w:szCs w:val="21"/>
              </w:rPr>
              <w:t>，其余指标达Ⅴ类</w:t>
            </w:r>
          </w:p>
        </w:tc>
        <w:tc>
          <w:tcPr>
            <w:tcW w:w="1326"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氨氮</w:t>
            </w:r>
            <w:r>
              <w:rPr>
                <w:rFonts w:ascii="Tahoma" w:hAnsi="Tahoma" w:cs="Tahoma"/>
                <w:szCs w:val="21"/>
              </w:rPr>
              <w:t>≤3mg/L</w:t>
            </w:r>
            <w:r>
              <w:rPr>
                <w:rFonts w:ascii="Tahoma" w:hAnsi="宋体" w:cs="Tahoma"/>
                <w:szCs w:val="21"/>
              </w:rPr>
              <w:t>，其余指标达Ⅴ类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56"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Tahoma" w:cs="Tahoma"/>
                <w:szCs w:val="21"/>
              </w:rPr>
              <w:t>6</w:t>
            </w:r>
          </w:p>
        </w:tc>
        <w:tc>
          <w:tcPr>
            <w:tcW w:w="1209"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永定河</w:t>
            </w:r>
          </w:p>
        </w:tc>
        <w:tc>
          <w:tcPr>
            <w:tcW w:w="1003"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来家庄</w:t>
            </w:r>
          </w:p>
        </w:tc>
        <w:tc>
          <w:tcPr>
            <w:tcW w:w="840"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河流</w:t>
            </w:r>
          </w:p>
        </w:tc>
        <w:tc>
          <w:tcPr>
            <w:tcW w:w="1148"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省界</w:t>
            </w:r>
          </w:p>
          <w:p>
            <w:pPr>
              <w:topLinePunct/>
              <w:spacing w:line="340" w:lineRule="exact"/>
              <w:jc w:val="center"/>
              <w:rPr>
                <w:rFonts w:ascii="Tahoma" w:hAnsi="Tahoma" w:cs="Tahoma"/>
                <w:szCs w:val="21"/>
              </w:rPr>
            </w:pPr>
            <w:r>
              <w:rPr>
                <w:rFonts w:ascii="Tahoma" w:hAnsi="宋体" w:cs="Tahoma"/>
                <w:szCs w:val="21"/>
              </w:rPr>
              <w:t>（冀</w:t>
            </w:r>
            <w:r>
              <w:rPr>
                <w:rFonts w:ascii="Tahoma" w:hAnsi="Tahoma" w:cs="Tahoma"/>
                <w:szCs w:val="21"/>
              </w:rPr>
              <w:t>-</w:t>
            </w:r>
            <w:r>
              <w:rPr>
                <w:rFonts w:ascii="Tahoma" w:hAnsi="宋体" w:cs="Tahoma"/>
                <w:szCs w:val="21"/>
              </w:rPr>
              <w:t>津）</w:t>
            </w:r>
          </w:p>
        </w:tc>
        <w:tc>
          <w:tcPr>
            <w:tcW w:w="868"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省控</w:t>
            </w:r>
          </w:p>
        </w:tc>
        <w:tc>
          <w:tcPr>
            <w:tcW w:w="1699"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Ⅲ</w:t>
            </w:r>
          </w:p>
        </w:tc>
        <w:tc>
          <w:tcPr>
            <w:tcW w:w="1326"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56"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Tahoma" w:cs="Tahoma"/>
                <w:szCs w:val="21"/>
              </w:rPr>
              <w:t>7</w:t>
            </w:r>
          </w:p>
        </w:tc>
        <w:tc>
          <w:tcPr>
            <w:tcW w:w="1209"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大清河</w:t>
            </w:r>
          </w:p>
        </w:tc>
        <w:tc>
          <w:tcPr>
            <w:tcW w:w="1003"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台头</w:t>
            </w:r>
          </w:p>
        </w:tc>
        <w:tc>
          <w:tcPr>
            <w:tcW w:w="840"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河流</w:t>
            </w:r>
          </w:p>
        </w:tc>
        <w:tc>
          <w:tcPr>
            <w:tcW w:w="1148"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省界</w:t>
            </w:r>
          </w:p>
          <w:p>
            <w:pPr>
              <w:topLinePunct/>
              <w:spacing w:line="340" w:lineRule="exact"/>
              <w:jc w:val="center"/>
              <w:rPr>
                <w:rFonts w:ascii="Tahoma" w:hAnsi="Tahoma" w:cs="Tahoma"/>
                <w:szCs w:val="21"/>
              </w:rPr>
            </w:pPr>
            <w:r>
              <w:rPr>
                <w:rFonts w:ascii="Tahoma" w:hAnsi="宋体" w:cs="Tahoma"/>
                <w:szCs w:val="21"/>
              </w:rPr>
              <w:t>（冀</w:t>
            </w:r>
            <w:r>
              <w:rPr>
                <w:rFonts w:ascii="Tahoma" w:hAnsi="Tahoma" w:cs="Tahoma"/>
                <w:szCs w:val="21"/>
              </w:rPr>
              <w:t>-</w:t>
            </w:r>
            <w:r>
              <w:rPr>
                <w:rFonts w:ascii="Tahoma" w:hAnsi="宋体" w:cs="Tahoma"/>
                <w:szCs w:val="21"/>
              </w:rPr>
              <w:t>津）</w:t>
            </w:r>
          </w:p>
        </w:tc>
        <w:tc>
          <w:tcPr>
            <w:tcW w:w="868"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省控</w:t>
            </w:r>
          </w:p>
        </w:tc>
        <w:tc>
          <w:tcPr>
            <w:tcW w:w="1699"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Ⅴ</w:t>
            </w:r>
          </w:p>
        </w:tc>
        <w:tc>
          <w:tcPr>
            <w:tcW w:w="1326"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56"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Tahoma" w:cs="Tahoma"/>
                <w:szCs w:val="21"/>
              </w:rPr>
              <w:t>8</w:t>
            </w:r>
          </w:p>
        </w:tc>
        <w:tc>
          <w:tcPr>
            <w:tcW w:w="1209"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子牙河</w:t>
            </w:r>
          </w:p>
        </w:tc>
        <w:tc>
          <w:tcPr>
            <w:tcW w:w="1003"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小河闸</w:t>
            </w:r>
          </w:p>
        </w:tc>
        <w:tc>
          <w:tcPr>
            <w:tcW w:w="840"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河流</w:t>
            </w:r>
          </w:p>
        </w:tc>
        <w:tc>
          <w:tcPr>
            <w:tcW w:w="1148"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省界</w:t>
            </w:r>
          </w:p>
          <w:p>
            <w:pPr>
              <w:topLinePunct/>
              <w:spacing w:line="340" w:lineRule="exact"/>
              <w:jc w:val="center"/>
              <w:rPr>
                <w:rFonts w:ascii="Tahoma" w:hAnsi="Tahoma" w:cs="Tahoma"/>
                <w:szCs w:val="21"/>
              </w:rPr>
            </w:pPr>
            <w:r>
              <w:rPr>
                <w:rFonts w:ascii="Tahoma" w:hAnsi="宋体" w:cs="Tahoma"/>
                <w:szCs w:val="21"/>
              </w:rPr>
              <w:t>（冀</w:t>
            </w:r>
            <w:r>
              <w:rPr>
                <w:rFonts w:ascii="Tahoma" w:hAnsi="Tahoma" w:cs="Tahoma"/>
                <w:szCs w:val="21"/>
              </w:rPr>
              <w:t>-</w:t>
            </w:r>
            <w:r>
              <w:rPr>
                <w:rFonts w:ascii="Tahoma" w:hAnsi="宋体" w:cs="Tahoma"/>
                <w:szCs w:val="21"/>
              </w:rPr>
              <w:t>津）</w:t>
            </w:r>
          </w:p>
        </w:tc>
        <w:tc>
          <w:tcPr>
            <w:tcW w:w="868"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省控</w:t>
            </w:r>
          </w:p>
        </w:tc>
        <w:tc>
          <w:tcPr>
            <w:tcW w:w="1699"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Ⅲ</w:t>
            </w:r>
          </w:p>
        </w:tc>
        <w:tc>
          <w:tcPr>
            <w:tcW w:w="1326" w:type="dxa"/>
            <w:tcBorders>
              <w:top w:val="single" w:color="auto" w:sz="4" w:space="0"/>
              <w:left w:val="single" w:color="auto" w:sz="4" w:space="0"/>
              <w:bottom w:val="single" w:color="auto" w:sz="4" w:space="0"/>
              <w:right w:val="single" w:color="auto" w:sz="4" w:space="0"/>
            </w:tcBorders>
            <w:vAlign w:val="center"/>
          </w:tcPr>
          <w:p>
            <w:pPr>
              <w:topLinePunct/>
              <w:spacing w:line="340" w:lineRule="exact"/>
              <w:jc w:val="center"/>
              <w:rPr>
                <w:rFonts w:ascii="Tahoma" w:hAnsi="Tahoma" w:cs="Tahoma"/>
                <w:szCs w:val="21"/>
              </w:rPr>
            </w:pPr>
            <w:r>
              <w:rPr>
                <w:rFonts w:ascii="Tahoma" w:hAnsi="宋体" w:cs="Tahoma"/>
                <w:szCs w:val="21"/>
              </w:rPr>
              <w:t>Ⅲ</w:t>
            </w:r>
          </w:p>
        </w:tc>
      </w:tr>
    </w:tbl>
    <w:p>
      <w:pPr>
        <w:jc w:val="center"/>
        <w:rPr>
          <w:rFonts w:ascii="仿宋_GB2312" w:hAnsi="仿宋_GB2312" w:eastAsia="仿宋_GB2312" w:cs="仿宋_GB2312"/>
          <w:sz w:val="32"/>
          <w:szCs w:val="32"/>
        </w:rPr>
      </w:pPr>
      <w:r>
        <w:rPr>
          <w:rFonts w:hint="eastAsia" w:ascii="仿宋_GB2312" w:hAnsi="仿宋_GB2312" w:eastAsia="仿宋_GB2312" w:cs="仿宋_GB2312"/>
          <w:sz w:val="32"/>
          <w:szCs w:val="32"/>
        </w:rPr>
        <w:t>表2  廊坊国控考核断面（点位）水质目标</w:t>
      </w:r>
    </w:p>
    <w:p>
      <w:pPr>
        <w:pStyle w:val="3"/>
        <w:rPr>
          <w:rFonts w:ascii="仿宋_GB2312" w:hAnsi="仿宋_GB2312" w:eastAsia="仿宋_GB2312" w:cs="仿宋_GB2312"/>
        </w:rPr>
      </w:pPr>
      <w:bookmarkStart w:id="18" w:name="_Toc445718895"/>
      <w:r>
        <w:rPr>
          <w:rFonts w:hint="eastAsia"/>
        </w:rPr>
        <w:t>（三）资源消耗上限</w:t>
      </w:r>
      <w:bookmarkEnd w:id="18"/>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1、能源</w:t>
      </w:r>
    </w:p>
    <w:p>
      <w:pPr>
        <w:ind w:firstLine="640" w:firstLineChars="200"/>
        <w:jc w:val="left"/>
        <w:rPr>
          <w:rFonts w:ascii="仿宋_GB2312" w:hAnsi="仿宋_GB2312" w:eastAsia="仿宋_GB2312" w:cs="仿宋_GB2312"/>
          <w:sz w:val="32"/>
          <w:szCs w:val="32"/>
        </w:rPr>
      </w:pPr>
      <w:r>
        <w:rPr>
          <w:rFonts w:hint="eastAsia" w:ascii="仿宋_GB2312" w:hAnsi="仿宋_GB2312" w:eastAsia="仿宋_GB2312" w:cs="仿宋_GB2312"/>
          <w:sz w:val="32"/>
          <w:szCs w:val="32"/>
        </w:rPr>
        <w:t>2014年廊坊能源消费总量和规模以上工业煤炭消费总量分别为1569.52万吨和 573.12 万吨。综合考虑廊坊市能源节约、大气污染防治等需求和产业结构调整、节能减排措施等可能，廊坊2017年和2020年能源消费总量和规模以上工业煤炭消费总量均比2014年有所下降。</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2、水资源</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全市多年平均水资源总量8.09亿立方米，将南水北调分配的2.58亿立方米计算在内，水资源总量为10.67亿立方米。2014年廊坊用水总量为11.36亿立方米,供需存在缺口。通过实施“引江、引黄、引淀”等域外调水措施，可由白洋淀向赵王新河输水及蓄水引黄水量0.9亿立方米。此外，到2020年全市再生水可利用量将达到1.48亿立方米，规划期末全市水资源可利用总量为13.05亿立方米，全市水资源供需基本平衡。</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规划到2020年，全市用水总量控制在11.66亿立方米，其中地表水供水量</w:t>
      </w:r>
      <w:r>
        <w:rPr>
          <w:rFonts w:ascii="仿宋_GB2312" w:hAnsi="仿宋_GB2312" w:eastAsia="仿宋_GB2312" w:cs="仿宋_GB2312"/>
          <w:sz w:val="32"/>
          <w:szCs w:val="32"/>
        </w:rPr>
        <w:t>5.28</w:t>
      </w:r>
      <w:r>
        <w:rPr>
          <w:rFonts w:hint="eastAsia" w:ascii="仿宋_GB2312" w:hAnsi="仿宋_GB2312" w:eastAsia="仿宋_GB2312" w:cs="仿宋_GB2312"/>
          <w:sz w:val="32"/>
          <w:szCs w:val="32"/>
        </w:rPr>
        <w:t>亿立方米,地下水供水量</w:t>
      </w:r>
      <w:r>
        <w:rPr>
          <w:rFonts w:ascii="仿宋_GB2312" w:hAnsi="仿宋_GB2312" w:eastAsia="仿宋_GB2312" w:cs="仿宋_GB2312"/>
          <w:sz w:val="32"/>
          <w:szCs w:val="32"/>
        </w:rPr>
        <w:t>6.38</w:t>
      </w:r>
      <w:r>
        <w:rPr>
          <w:rFonts w:hint="eastAsia" w:ascii="仿宋_GB2312" w:hAnsi="仿宋_GB2312" w:eastAsia="仿宋_GB2312" w:cs="仿宋_GB2312"/>
          <w:sz w:val="32"/>
          <w:szCs w:val="32"/>
        </w:rPr>
        <w:t>亿立方米。基本实现地下水零超采。</w:t>
      </w:r>
    </w:p>
    <w:p>
      <w:pPr>
        <w:ind w:firstLine="640" w:firstLineChars="200"/>
        <w:rPr>
          <w:rFonts w:ascii="仿宋_GB2312" w:hAnsi="仿宋_GB2312" w:eastAsia="仿宋_GB2312" w:cs="仿宋_GB2312"/>
          <w:color w:val="FF0000"/>
          <w:sz w:val="32"/>
          <w:szCs w:val="32"/>
        </w:rPr>
      </w:pPr>
      <w:r>
        <w:rPr>
          <w:rFonts w:hint="eastAsia" w:ascii="仿宋_GB2312" w:hAnsi="仿宋_GB2312" w:eastAsia="仿宋_GB2312" w:cs="仿宋_GB2312"/>
          <w:sz w:val="32"/>
          <w:szCs w:val="32"/>
        </w:rPr>
        <w:t>3、耕地</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2014年，全市耕地保有量35.79万公顷，基本农田保护面积 </w:t>
      </w:r>
      <w:r>
        <w:rPr>
          <w:rFonts w:ascii="仿宋_GB2312" w:hAnsi="仿宋_GB2312" w:eastAsia="仿宋_GB2312" w:cs="仿宋_GB2312"/>
          <w:sz w:val="32"/>
          <w:szCs w:val="32"/>
        </w:rPr>
        <w:t>32.1</w:t>
      </w:r>
      <w:r>
        <w:rPr>
          <w:rFonts w:hint="eastAsia" w:ascii="仿宋_GB2312" w:hAnsi="仿宋_GB2312" w:eastAsia="仿宋_GB2312" w:cs="仿宋_GB2312"/>
          <w:sz w:val="32"/>
          <w:szCs w:val="32"/>
        </w:rPr>
        <w:t>8万公顷。到2020年，全市耕地保有量不低于32.17万公顷，基本农田保护面积不低于30.87万公顷。耕地土壤符合国家《土壤环境质量标准》二级标准，所生产的农产品质量符合有关农产品质量安全标准。</w:t>
      </w:r>
    </w:p>
    <w:p>
      <w:pPr>
        <w:pStyle w:val="2"/>
      </w:pPr>
      <w:bookmarkStart w:id="19" w:name="_Toc445718896"/>
      <w:r>
        <w:rPr>
          <w:rFonts w:hint="eastAsia"/>
        </w:rPr>
        <w:t>五、主要任务与重点工程</w:t>
      </w:r>
      <w:bookmarkEnd w:id="19"/>
    </w:p>
    <w:p>
      <w:pPr>
        <w:pStyle w:val="3"/>
      </w:pPr>
      <w:bookmarkStart w:id="20" w:name="_Toc445718897"/>
      <w:r>
        <w:rPr>
          <w:rFonts w:hint="eastAsia"/>
        </w:rPr>
        <w:t>（一）水资源与水环境</w:t>
      </w:r>
      <w:bookmarkEnd w:id="20"/>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廊坊市分布北三河水系、永定河水系、大清河水系、子牙河水系等海河流域4大水系。河道径流分布不均，主要集中在北部三河、大厂和香河三县市。全市有行洪河道10条，其中</w:t>
      </w:r>
      <w:r>
        <w:rPr>
          <w:rFonts w:hint="eastAsia" w:ascii="宋体" w:hAnsi="宋体" w:cs="宋体"/>
          <w:sz w:val="32"/>
          <w:szCs w:val="32"/>
        </w:rPr>
        <w:t>泃</w:t>
      </w:r>
      <w:r>
        <w:rPr>
          <w:rFonts w:hint="eastAsia" w:ascii="仿宋_GB2312" w:hAnsi="仿宋_GB2312" w:eastAsia="仿宋_GB2312" w:cs="仿宋_GB2312"/>
          <w:sz w:val="32"/>
          <w:szCs w:val="32"/>
        </w:rPr>
        <w:t>河、引</w:t>
      </w:r>
      <w:r>
        <w:rPr>
          <w:rFonts w:hint="eastAsia" w:ascii="宋体" w:hAnsi="宋体" w:cs="宋体"/>
          <w:sz w:val="32"/>
          <w:szCs w:val="32"/>
        </w:rPr>
        <w:t>泃</w:t>
      </w:r>
      <w:r>
        <w:rPr>
          <w:rFonts w:hint="eastAsia" w:ascii="仿宋_GB2312" w:hAnsi="仿宋_GB2312" w:eastAsia="仿宋_GB2312" w:cs="仿宋_GB2312"/>
          <w:sz w:val="32"/>
          <w:szCs w:val="32"/>
        </w:rPr>
        <w:t>入潮、潮白河、北运河、青龙湾减河流经市域北部三县市，永定河、白沟河流经市域中部地区，大清河（赵王新河）、子牙河和子牙新河由市域南部地区穿过。排沥河道主要有鲍邱河、凤河、龙河、</w:t>
      </w:r>
      <w:r>
        <w:rPr>
          <w:rFonts w:hint="eastAsia" w:ascii="宋体" w:hAnsi="宋体" w:cs="宋体"/>
          <w:sz w:val="32"/>
          <w:szCs w:val="32"/>
        </w:rPr>
        <w:t>牤</w:t>
      </w:r>
      <w:r>
        <w:rPr>
          <w:rFonts w:hint="eastAsia" w:ascii="仿宋_GB2312" w:hAnsi="仿宋_GB2312" w:eastAsia="仿宋_GB2312" w:cs="仿宋_GB2312"/>
          <w:sz w:val="32"/>
          <w:szCs w:val="32"/>
        </w:rPr>
        <w:t>牛河、雄固霸新河等10条。境内有永定河泛区、东淀、文安洼和贾口洼4个国家防总直接调度的蓄滞洪区。</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主要生态问题：</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一是水资源严重缺乏。全市水资源总量仅占河北省水资源总量的4.3%，而人口、耕地却分别占全省的5.7%和5.6%；全市人均水资源占有量仅184立方米，远低于河北省人均水平307立方米,不足全省平均值的60%，不足全国平均值的十分之一。人均水资源、亩均水资源均居全省后列，为水资源极贫乏地区。二是水生态功能严重退化。全市大部分河道断流，污染严重，</w:t>
      </w:r>
      <w:r>
        <w:rPr>
          <w:rFonts w:hint="eastAsia" w:ascii="宋体" w:hAnsi="宋体" w:cs="宋体"/>
          <w:sz w:val="32"/>
          <w:szCs w:val="32"/>
        </w:rPr>
        <w:t>泃</w:t>
      </w:r>
      <w:r>
        <w:rPr>
          <w:rFonts w:hint="eastAsia" w:ascii="仿宋_GB2312" w:hAnsi="仿宋_GB2312" w:eastAsia="仿宋_GB2312" w:cs="仿宋_GB2312"/>
          <w:sz w:val="32"/>
          <w:szCs w:val="32"/>
        </w:rPr>
        <w:t>河、潮白河、北运河、龙河、大清河水质均属劣Ⅴ类，部分河道淤积严重，河道排灌、泄洪及防涝功能弱化。三是地下水超采严重。市域内没有天然湖泊，地表水资源匮乏，生产、生活用水几乎全部依赖地下水。农业用水占全市总用水量的65%，其中86%来源于地下水开采，地下水普遍过度开采。全市浅层地下水超采区面积为2391.1平方千米,占国土面积的37%；全市深层超采区面积为3633.6平方千米，占国土面积的57%。</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修复重点：科学合理调配水资源，完善各项水利工程建设，开源与节流并重解决水资源短缺；提高污水处理率，全面治理水体污染；严格控制地下水超采。</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主要修复措施：</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1、建立现代生态水网，完善河系连通工程</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以南水北调干支渠为骨架，依托现有河系，完善河系连通工程，加快推进南水北调中线一期配套工程，积极谋划南水北调东线引水工程，增强水资源调配能力，保障水资源供给安全。科学调度市域中水和雨洪资源，用于全市景观生态和农业用水。恢复和增强域内灌排渠系功能，建设渠系与坑塘、渠系与河系连通工程，提高渠系、坑塘、河系排涝和集雨蓄水能力。实施永定河泛区安次安全区和临空安全区工程建设。</w:t>
      </w:r>
    </w:p>
    <w:p>
      <w:pPr>
        <w:ind w:firstLine="640" w:firstLineChars="200"/>
        <w:rPr>
          <w:rFonts w:ascii="仿宋_GB2312" w:hAnsi="仿宋_GB2312" w:eastAsia="仿宋_GB2312" w:cs="仿宋_GB2312"/>
          <w:sz w:val="32"/>
          <w:szCs w:val="32"/>
        </w:rPr>
      </w:pPr>
    </w:p>
    <w:p>
      <w:pPr>
        <w:rPr>
          <w:rFonts w:ascii="仿宋_GB2312" w:hAnsi="仿宋_GB2312" w:eastAsia="仿宋_GB2312" w:cs="仿宋_GB2312"/>
          <w:sz w:val="32"/>
          <w:szCs w:val="32"/>
        </w:rPr>
      </w:pPr>
    </w:p>
    <w:p>
      <w:pPr>
        <w:rPr>
          <w:rFonts w:ascii="仿宋_GB2312" w:hAnsi="仿宋_GB2312" w:eastAsia="仿宋_GB2312" w:cs="仿宋_GB2312"/>
          <w:sz w:val="32"/>
          <w:szCs w:val="32"/>
        </w:rPr>
      </w:pPr>
    </w:p>
    <w:p>
      <w:pPr>
        <w:rPr>
          <w:rFonts w:ascii="仿宋_GB2312" w:hAnsi="仿宋_GB2312" w:eastAsia="仿宋_GB2312" w:cs="仿宋_GB2312"/>
          <w:sz w:val="32"/>
          <w:szCs w:val="32"/>
        </w:rPr>
      </w:pPr>
    </w:p>
    <w:p>
      <w:pPr>
        <w:rPr>
          <w:rFonts w:ascii="仿宋_GB2312" w:hAnsi="仿宋_GB2312" w:eastAsia="仿宋_GB2312" w:cs="仿宋_GB2312"/>
          <w:sz w:val="32"/>
          <w:szCs w:val="32"/>
        </w:rPr>
      </w:pPr>
    </w:p>
    <w:tbl>
      <w:tblPr>
        <w:tblStyle w:val="10"/>
        <w:tblW w:w="82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trPr>
        <w:tc>
          <w:tcPr>
            <w:tcW w:w="8296" w:type="dxa"/>
            <w:shd w:val="clear" w:color="auto" w:fill="auto"/>
          </w:tcPr>
          <w:p>
            <w:pPr>
              <w:spacing w:line="400" w:lineRule="exact"/>
              <w:rPr>
                <w:rFonts w:ascii="仿宋_GB2312" w:hAnsi="仿宋_GB2312" w:eastAsia="仿宋_GB2312" w:cs="仿宋_GB2312"/>
                <w:sz w:val="24"/>
                <w:szCs w:val="24"/>
              </w:rPr>
            </w:pPr>
            <w:r>
              <w:rPr>
                <w:rFonts w:hint="eastAsia" w:ascii="仿宋_GB2312" w:hAnsi="仿宋_GB2312" w:eastAsia="仿宋_GB2312" w:cs="仿宋_GB2312"/>
                <w:sz w:val="24"/>
                <w:szCs w:val="24"/>
              </w:rPr>
              <w:t>专栏1 河系连通工程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8" w:hRule="atLeast"/>
        </w:trPr>
        <w:tc>
          <w:tcPr>
            <w:tcW w:w="8296" w:type="dxa"/>
            <w:shd w:val="clear" w:color="auto" w:fill="auto"/>
          </w:tcPr>
          <w:p>
            <w:pPr>
              <w:spacing w:line="400" w:lineRule="exact"/>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（1）龙河—北运河连通工程。</w:t>
            </w:r>
            <w:r>
              <w:rPr>
                <w:rFonts w:hint="eastAsia" w:ascii="仿宋_GB2312" w:hAnsi="仿宋_GB2312" w:eastAsia="仿宋_GB2312" w:cs="仿宋_GB2312"/>
                <w:sz w:val="24"/>
                <w:szCs w:val="24"/>
              </w:rPr>
              <w:tab/>
            </w:r>
            <w:r>
              <w:rPr>
                <w:rFonts w:hint="eastAsia" w:ascii="仿宋_GB2312" w:hAnsi="仿宋_GB2312" w:eastAsia="仿宋_GB2312" w:cs="仿宋_GB2312"/>
                <w:sz w:val="24"/>
                <w:szCs w:val="24"/>
              </w:rPr>
              <w:t>以北运河木厂闸上游的秦营干渠渠首作为引水口，经由天津市武清区穿越龙凤河后入凤河，沿凤河河北段和北京市段入龙河，线路总长度68千米。</w:t>
            </w:r>
          </w:p>
          <w:p>
            <w:pPr>
              <w:spacing w:line="400" w:lineRule="exact"/>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2）龙河—赵王新河连通工程。自赵王新河左侧三官村引水闸下三支渠开始，经三支渠、百米渠、中干渠、辛立村支渠、新开渠、永定河故道干渠、北干渠、永南排干、永定河主河槽、丰收渠，最后进入龙河，线路全长78.711千米。</w:t>
            </w:r>
          </w:p>
          <w:p>
            <w:pPr>
              <w:spacing w:line="400" w:lineRule="exact"/>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（3）潮白河—鲍邱河连通工程。新开挖一干北引渠，全长5165米，将潮白河水经群英渠总干渠、一分干渠、一干北引渠、尹家沟引入鲍邱河上游，为鲍邱河上游年补充水量约3900万立方米。</w:t>
            </w:r>
          </w:p>
          <w:p>
            <w:pPr>
              <w:spacing w:line="400" w:lineRule="exact"/>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（4）</w:t>
            </w:r>
            <w:r>
              <w:rPr>
                <w:rFonts w:hint="eastAsia" w:ascii="宋体" w:hAnsi="宋体" w:cs="宋体"/>
                <w:sz w:val="24"/>
                <w:szCs w:val="24"/>
              </w:rPr>
              <w:t>泃</w:t>
            </w:r>
            <w:r>
              <w:rPr>
                <w:rFonts w:hint="eastAsia" w:ascii="仿宋_GB2312" w:hAnsi="仿宋_GB2312" w:eastAsia="仿宋_GB2312" w:cs="仿宋_GB2312"/>
                <w:sz w:val="24"/>
                <w:szCs w:val="24"/>
              </w:rPr>
              <w:t>河—鲍邱河连通工程。在三河市境内，完善</w:t>
            </w:r>
            <w:r>
              <w:rPr>
                <w:rFonts w:hint="eastAsia" w:ascii="宋体" w:hAnsi="宋体" w:cs="宋体"/>
                <w:sz w:val="24"/>
                <w:szCs w:val="24"/>
              </w:rPr>
              <w:t>泃</w:t>
            </w:r>
            <w:r>
              <w:rPr>
                <w:rFonts w:hint="eastAsia" w:ascii="仿宋_GB2312" w:hAnsi="仿宋_GB2312" w:eastAsia="仿宋_GB2312" w:cs="仿宋_GB2312"/>
                <w:sz w:val="24"/>
                <w:szCs w:val="24"/>
              </w:rPr>
              <w:t>河和鲍邱河连通渠系，继续建设穿越京秦铁路等站点。</w:t>
            </w:r>
          </w:p>
        </w:tc>
      </w:tr>
    </w:tbl>
    <w:p>
      <w:pPr>
        <w:rPr>
          <w:rFonts w:ascii="仿宋_GB2312" w:hAnsi="仿宋_GB2312" w:eastAsia="仿宋_GB2312" w:cs="仿宋_GB2312"/>
          <w:sz w:val="32"/>
          <w:szCs w:val="32"/>
        </w:rPr>
      </w:pP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2、大力推进海绵城市建设，增加水资源储备</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为有效消解城市内涝、消减城市径流污染负荷、节约水资源、保护和改善城市生态环境，在廊坊全市大力推进海绵城市建设。</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一是保护河流、湖泊、湿地、坑塘、沟渠等水生态敏感区，优先利用自然排水系统与低影响开发设施，实现雨水的自然积存、自然渗透、自然净化和可持续水循环。二是合理设定不同性质用地的绿地率、透水铺装率等指标，防止土地大面积硬化。科学规划布局和选用下沉式绿地、植草沟、雨水湿地、透水铺装、多功能调蓄等低影响开发设施及其组合系统。三是集约开发利用土地。合理确定城市空间增长边界和城市规模，防止城市无序化蔓延，提倡集约型开发模式，保障城市生态空间。四是根据地形和汇水分区特点，合理确定雨水排水分区和排水出路，保护和修复自然径流通道，延长汇流路径，优先采用雨水花园、湿塘、雨水湿地等低影响开发设施，控制径流雨水。五是根据城市的水文地质条件、用地性质、功能布局及近远期发展目标，综合经济发展水平等其他因素提出城市低影响开发策略及重点建设区域，并明确重点建设区域的年径流总量控制率目标。</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3、全面强化污染河流治理，严格控制污染物排放</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（1）重点河流综合治理</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对鲍邱河、</w:t>
      </w:r>
      <w:r>
        <w:rPr>
          <w:rFonts w:hint="eastAsia" w:ascii="宋体" w:hAnsi="宋体" w:cs="宋体"/>
          <w:sz w:val="32"/>
          <w:szCs w:val="32"/>
        </w:rPr>
        <w:t>泃</w:t>
      </w:r>
      <w:r>
        <w:rPr>
          <w:rFonts w:hint="eastAsia" w:ascii="仿宋_GB2312" w:hAnsi="仿宋_GB2312" w:eastAsia="仿宋_GB2312" w:cs="仿宋_GB2312"/>
          <w:sz w:val="32"/>
          <w:szCs w:val="32"/>
        </w:rPr>
        <w:t>河、潮白河、北运河、白沟河</w:t>
      </w:r>
      <w:r>
        <w:rPr>
          <w:rFonts w:ascii="仿宋_GB2312" w:hAnsi="仿宋_GB2312" w:eastAsia="仿宋_GB2312" w:cs="仿宋_GB2312"/>
          <w:sz w:val="32"/>
          <w:szCs w:val="32"/>
        </w:rPr>
        <w:t>、牤牛河、雄固霸新河、</w:t>
      </w:r>
      <w:r>
        <w:rPr>
          <w:rFonts w:hint="eastAsia" w:ascii="仿宋_GB2312" w:hAnsi="仿宋_GB2312" w:eastAsia="仿宋_GB2312" w:cs="仿宋_GB2312"/>
          <w:sz w:val="32"/>
          <w:szCs w:val="32"/>
        </w:rPr>
        <w:t>中亭河、龙河、子牙河、赵王新渠等11条河流，实施重点污染河流综合治理工程。新建、扩建污水处理厂，配套完善污水管网，提高污水处理标准，到2020年全市污水处理厂达到一级A标准。对主要河流实行跨界断面水质目标考核，对水体污染物超标的县（市、区）实行生态补偿金扣缴政策。清除河、渠、坑塘生活和建筑垃圾，综合整治河、渠及周边环境，对干涸河道实施绿化、美化、实现“有水则清、无水则绿、整洁美观、自然顺畅”的河系、渠系生态环境。实施永定河综合治理及绿廊工程，突出防洪薄弱环节治理和河道生态保护与修复，打造水、草、林有机结合的绿色生态河流廊道。</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（2）严格控制污染物排放</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全面实行企业排污许可证制度。排查所有污水排污口，彻底清除非法设置的入河排污口，严格监管入河排污口污水达标排放。大力整治“涉水”企业，狠抓工业污染防治，严查渗坑、井灌等非法排污方式，全面排查清理装备水平低，环保设施差的小型工业企业。集中治理工业聚集区水污染，保证聚集区内工业废水必须经预处理达到集中处理要求，方可进入污水集中处理设施。到2020年，完成污水处理管网综合改造，建设生物净化工程，进一步净化污水，达到国家景观生态用水标准。</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2017年实现全市污水处理设施运行在线监控，污水处理率达到90%以上，中水利用率达到35%以上，污水实现全收集、全处理；地下管线安全运行体系完备，各管线管网漏失率符合国家标准，全部建立地下管线“数字化”信息管理应用平台系统。2020年实现污水处理率达到100%，中水利用率达到40%以上，污水实现全收集、全处理。</w:t>
      </w:r>
    </w:p>
    <w:p>
      <w:pPr>
        <w:rPr>
          <w:rFonts w:ascii="仿宋_GB2312" w:hAnsi="仿宋_GB2312" w:eastAsia="仿宋_GB2312" w:cs="仿宋_GB2312"/>
          <w:sz w:val="32"/>
          <w:szCs w:val="32"/>
        </w:rPr>
      </w:pPr>
    </w:p>
    <w:tbl>
      <w:tblPr>
        <w:tblStyle w:val="10"/>
        <w:tblW w:w="82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trPr>
        <w:tc>
          <w:tcPr>
            <w:tcW w:w="8296" w:type="dxa"/>
            <w:shd w:val="clear" w:color="auto" w:fill="auto"/>
          </w:tcPr>
          <w:p>
            <w:pPr>
              <w:spacing w:line="400" w:lineRule="exact"/>
              <w:rPr>
                <w:rFonts w:ascii="仿宋_GB2312" w:hAnsi="仿宋_GB2312" w:eastAsia="仿宋_GB2312" w:cs="仿宋_GB2312"/>
                <w:sz w:val="24"/>
                <w:szCs w:val="24"/>
              </w:rPr>
            </w:pPr>
            <w:r>
              <w:rPr>
                <w:rFonts w:hint="eastAsia" w:ascii="仿宋_GB2312" w:hAnsi="仿宋_GB2312" w:eastAsia="仿宋_GB2312" w:cs="仿宋_GB2312"/>
                <w:sz w:val="24"/>
                <w:szCs w:val="24"/>
              </w:rPr>
              <w:t>专栏2 重点河流生态修复工程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6" w:hRule="atLeast"/>
        </w:trPr>
        <w:tc>
          <w:tcPr>
            <w:tcW w:w="8296" w:type="dxa"/>
            <w:shd w:val="clear" w:color="auto" w:fill="auto"/>
          </w:tcPr>
          <w:p>
            <w:pPr>
              <w:pStyle w:val="17"/>
              <w:numPr>
                <w:ilvl w:val="0"/>
                <w:numId w:val="1"/>
              </w:numPr>
              <w:spacing w:line="400" w:lineRule="exact"/>
              <w:ind w:firstLineChars="0"/>
              <w:rPr>
                <w:rFonts w:ascii="仿宋_GB2312" w:hAnsi="仿宋_GB2312" w:eastAsia="仿宋_GB2312" w:cs="仿宋_GB2312"/>
                <w:sz w:val="24"/>
                <w:szCs w:val="24"/>
              </w:rPr>
            </w:pPr>
            <w:r>
              <w:rPr>
                <w:rFonts w:hint="eastAsia" w:ascii="仿宋_GB2312" w:hAnsi="仿宋_GB2312" w:eastAsia="仿宋_GB2312" w:cs="仿宋_GB2312"/>
                <w:sz w:val="24"/>
                <w:szCs w:val="24"/>
              </w:rPr>
              <w:t>龙河</w:t>
            </w:r>
            <w:r>
              <w:rPr>
                <w:rFonts w:ascii="仿宋_GB2312" w:hAnsi="仿宋_GB2312" w:eastAsia="仿宋_GB2312" w:cs="仿宋_GB2312"/>
                <w:sz w:val="24"/>
                <w:szCs w:val="24"/>
              </w:rPr>
              <w:t>生态修复工程</w:t>
            </w:r>
            <w:r>
              <w:rPr>
                <w:rFonts w:hint="eastAsia" w:ascii="仿宋_GB2312" w:hAnsi="仿宋_GB2312" w:eastAsia="仿宋_GB2312" w:cs="仿宋_GB2312"/>
                <w:sz w:val="24"/>
                <w:szCs w:val="24"/>
              </w:rPr>
              <w:t>。 廊坊</w:t>
            </w:r>
            <w:r>
              <w:rPr>
                <w:rFonts w:ascii="仿宋_GB2312" w:hAnsi="仿宋_GB2312" w:eastAsia="仿宋_GB2312" w:cs="仿宋_GB2312"/>
                <w:sz w:val="24"/>
                <w:szCs w:val="24"/>
              </w:rPr>
              <w:t>市区段</w:t>
            </w:r>
            <w:r>
              <w:rPr>
                <w:rFonts w:hint="eastAsia" w:ascii="仿宋_GB2312" w:hAnsi="仿宋_GB2312" w:eastAsia="仿宋_GB2312" w:cs="仿宋_GB2312"/>
                <w:sz w:val="24"/>
                <w:szCs w:val="24"/>
              </w:rPr>
              <w:t>，</w:t>
            </w:r>
            <w:r>
              <w:rPr>
                <w:rFonts w:ascii="仿宋_GB2312" w:hAnsi="仿宋_GB2312" w:eastAsia="仿宋_GB2312" w:cs="仿宋_GB2312"/>
                <w:sz w:val="24"/>
                <w:szCs w:val="24"/>
              </w:rPr>
              <w:t>修复长度</w:t>
            </w:r>
            <w:r>
              <w:rPr>
                <w:rFonts w:hint="eastAsia" w:ascii="仿宋_GB2312" w:hAnsi="仿宋_GB2312" w:eastAsia="仿宋_GB2312" w:cs="仿宋_GB2312"/>
                <w:sz w:val="24"/>
                <w:szCs w:val="24"/>
              </w:rPr>
              <w:t>20千米。</w:t>
            </w:r>
          </w:p>
          <w:p>
            <w:pPr>
              <w:pStyle w:val="17"/>
              <w:numPr>
                <w:ilvl w:val="0"/>
                <w:numId w:val="1"/>
              </w:numPr>
              <w:spacing w:line="400" w:lineRule="exact"/>
              <w:ind w:firstLineChars="0"/>
              <w:rPr>
                <w:rFonts w:ascii="仿宋_GB2312" w:hAnsi="仿宋_GB2312" w:eastAsia="仿宋_GB2312" w:cs="仿宋_GB2312"/>
                <w:sz w:val="24"/>
                <w:szCs w:val="24"/>
              </w:rPr>
            </w:pPr>
            <w:r>
              <w:rPr>
                <w:rFonts w:hint="eastAsia" w:ascii="仿宋_GB2312" w:hAnsi="仿宋_GB2312" w:eastAsia="仿宋_GB2312" w:cs="仿宋_GB2312"/>
                <w:sz w:val="24"/>
                <w:szCs w:val="24"/>
              </w:rPr>
              <w:t>潮白河</w:t>
            </w:r>
            <w:r>
              <w:rPr>
                <w:rFonts w:ascii="仿宋_GB2312" w:hAnsi="仿宋_GB2312" w:eastAsia="仿宋_GB2312" w:cs="仿宋_GB2312"/>
                <w:sz w:val="24"/>
                <w:szCs w:val="24"/>
              </w:rPr>
              <w:t>生态修复工程。</w:t>
            </w:r>
            <w:r>
              <w:rPr>
                <w:rFonts w:hint="eastAsia" w:ascii="仿宋_GB2312" w:hAnsi="仿宋_GB2312" w:eastAsia="仿宋_GB2312" w:cs="仿宋_GB2312"/>
                <w:sz w:val="24"/>
                <w:szCs w:val="24"/>
              </w:rPr>
              <w:t>大</w:t>
            </w:r>
            <w:r>
              <w:rPr>
                <w:rFonts w:ascii="仿宋_GB2312" w:hAnsi="仿宋_GB2312" w:eastAsia="仿宋_GB2312" w:cs="仿宋_GB2312"/>
                <w:sz w:val="24"/>
                <w:szCs w:val="24"/>
              </w:rPr>
              <w:t>厂县城段，修复长度</w:t>
            </w:r>
            <w:r>
              <w:rPr>
                <w:rFonts w:hint="eastAsia" w:ascii="仿宋_GB2312" w:hAnsi="仿宋_GB2312" w:eastAsia="仿宋_GB2312" w:cs="仿宋_GB2312"/>
                <w:sz w:val="24"/>
                <w:szCs w:val="24"/>
              </w:rPr>
              <w:t>5千米</w:t>
            </w:r>
            <w:r>
              <w:rPr>
                <w:rFonts w:ascii="仿宋_GB2312" w:hAnsi="仿宋_GB2312" w:eastAsia="仿宋_GB2312" w:cs="仿宋_GB2312"/>
                <w:sz w:val="24"/>
                <w:szCs w:val="24"/>
              </w:rPr>
              <w:t>；香河县城段，修复长度</w:t>
            </w:r>
            <w:r>
              <w:rPr>
                <w:rFonts w:hint="eastAsia" w:ascii="仿宋_GB2312" w:hAnsi="仿宋_GB2312" w:eastAsia="仿宋_GB2312" w:cs="仿宋_GB2312"/>
                <w:sz w:val="24"/>
                <w:szCs w:val="24"/>
              </w:rPr>
              <w:t>8千米</w:t>
            </w:r>
            <w:r>
              <w:rPr>
                <w:rFonts w:ascii="仿宋_GB2312" w:hAnsi="仿宋_GB2312" w:eastAsia="仿宋_GB2312" w:cs="仿宋_GB2312"/>
                <w:sz w:val="24"/>
                <w:szCs w:val="24"/>
              </w:rPr>
              <w:t>。</w:t>
            </w:r>
          </w:p>
          <w:p>
            <w:pPr>
              <w:pStyle w:val="17"/>
              <w:numPr>
                <w:ilvl w:val="0"/>
                <w:numId w:val="1"/>
              </w:numPr>
              <w:spacing w:line="400" w:lineRule="exact"/>
              <w:ind w:firstLineChars="0"/>
              <w:rPr>
                <w:rFonts w:ascii="仿宋_GB2312" w:hAnsi="仿宋_GB2312" w:eastAsia="仿宋_GB2312" w:cs="仿宋_GB2312"/>
                <w:sz w:val="24"/>
                <w:szCs w:val="24"/>
              </w:rPr>
            </w:pPr>
            <w:r>
              <w:rPr>
                <w:rFonts w:hint="eastAsia" w:ascii="仿宋_GB2312" w:hAnsi="仿宋_GB2312" w:eastAsia="仿宋_GB2312" w:cs="仿宋_GB2312"/>
                <w:sz w:val="24"/>
                <w:szCs w:val="24"/>
              </w:rPr>
              <w:t>泃</w:t>
            </w:r>
            <w:r>
              <w:rPr>
                <w:rFonts w:ascii="仿宋_GB2312" w:hAnsi="仿宋_GB2312" w:eastAsia="仿宋_GB2312" w:cs="仿宋_GB2312"/>
                <w:sz w:val="24"/>
                <w:szCs w:val="24"/>
              </w:rPr>
              <w:t>河生态</w:t>
            </w:r>
            <w:r>
              <w:rPr>
                <w:rFonts w:hint="eastAsia" w:ascii="仿宋_GB2312" w:hAnsi="仿宋_GB2312" w:eastAsia="仿宋_GB2312" w:cs="仿宋_GB2312"/>
                <w:sz w:val="24"/>
                <w:szCs w:val="24"/>
              </w:rPr>
              <w:t>修复工程</w:t>
            </w:r>
            <w:r>
              <w:rPr>
                <w:rFonts w:ascii="仿宋_GB2312" w:hAnsi="仿宋_GB2312" w:eastAsia="仿宋_GB2312" w:cs="仿宋_GB2312"/>
                <w:sz w:val="24"/>
                <w:szCs w:val="24"/>
              </w:rPr>
              <w:t>。</w:t>
            </w:r>
            <w:r>
              <w:rPr>
                <w:rFonts w:hint="eastAsia" w:ascii="仿宋_GB2312" w:hAnsi="仿宋_GB2312" w:eastAsia="仿宋_GB2312" w:cs="仿宋_GB2312"/>
                <w:sz w:val="24"/>
                <w:szCs w:val="24"/>
              </w:rPr>
              <w:t xml:space="preserve"> 三</w:t>
            </w:r>
            <w:r>
              <w:rPr>
                <w:rFonts w:ascii="仿宋_GB2312" w:hAnsi="仿宋_GB2312" w:eastAsia="仿宋_GB2312" w:cs="仿宋_GB2312"/>
                <w:sz w:val="24"/>
                <w:szCs w:val="24"/>
              </w:rPr>
              <w:t>河市区段，修复长度</w:t>
            </w:r>
            <w:r>
              <w:rPr>
                <w:rFonts w:hint="eastAsia" w:ascii="仿宋_GB2312" w:hAnsi="仿宋_GB2312" w:eastAsia="仿宋_GB2312" w:cs="仿宋_GB2312"/>
                <w:sz w:val="24"/>
                <w:szCs w:val="24"/>
              </w:rPr>
              <w:t>15千米。</w:t>
            </w:r>
          </w:p>
          <w:p>
            <w:pPr>
              <w:pStyle w:val="17"/>
              <w:numPr>
                <w:ilvl w:val="0"/>
                <w:numId w:val="1"/>
              </w:numPr>
              <w:spacing w:line="400" w:lineRule="exact"/>
              <w:ind w:firstLineChars="0"/>
              <w:rPr>
                <w:rFonts w:ascii="仿宋_GB2312" w:hAnsi="仿宋_GB2312" w:eastAsia="仿宋_GB2312" w:cs="仿宋_GB2312"/>
                <w:sz w:val="24"/>
                <w:szCs w:val="24"/>
              </w:rPr>
            </w:pPr>
            <w:r>
              <w:rPr>
                <w:rFonts w:hint="eastAsia" w:ascii="仿宋_GB2312" w:hAnsi="仿宋_GB2312" w:eastAsia="仿宋_GB2312" w:cs="仿宋_GB2312"/>
                <w:sz w:val="24"/>
                <w:szCs w:val="24"/>
              </w:rPr>
              <w:t>天堂</w:t>
            </w:r>
            <w:r>
              <w:rPr>
                <w:rFonts w:ascii="仿宋_GB2312" w:hAnsi="仿宋_GB2312" w:eastAsia="仿宋_GB2312" w:cs="仿宋_GB2312"/>
                <w:sz w:val="24"/>
                <w:szCs w:val="24"/>
              </w:rPr>
              <w:t>河生态修复工程。</w:t>
            </w:r>
            <w:r>
              <w:rPr>
                <w:rFonts w:hint="eastAsia" w:ascii="仿宋_GB2312" w:hAnsi="仿宋_GB2312" w:eastAsia="仿宋_GB2312" w:cs="仿宋_GB2312"/>
                <w:sz w:val="24"/>
                <w:szCs w:val="24"/>
              </w:rPr>
              <w:t>固</w:t>
            </w:r>
            <w:r>
              <w:rPr>
                <w:rFonts w:ascii="仿宋_GB2312" w:hAnsi="仿宋_GB2312" w:eastAsia="仿宋_GB2312" w:cs="仿宋_GB2312"/>
                <w:sz w:val="24"/>
                <w:szCs w:val="24"/>
              </w:rPr>
              <w:t>安县城段，修复长度</w:t>
            </w:r>
            <w:r>
              <w:rPr>
                <w:rFonts w:hint="eastAsia" w:ascii="仿宋_GB2312" w:hAnsi="仿宋_GB2312" w:eastAsia="仿宋_GB2312" w:cs="仿宋_GB2312"/>
                <w:sz w:val="24"/>
                <w:szCs w:val="24"/>
              </w:rPr>
              <w:t>5千米。</w:t>
            </w:r>
          </w:p>
          <w:p>
            <w:pPr>
              <w:pStyle w:val="17"/>
              <w:numPr>
                <w:ilvl w:val="0"/>
                <w:numId w:val="1"/>
              </w:numPr>
              <w:spacing w:line="400" w:lineRule="exact"/>
              <w:ind w:firstLineChars="0"/>
              <w:rPr>
                <w:rFonts w:ascii="仿宋_GB2312" w:hAnsi="仿宋_GB2312" w:eastAsia="仿宋_GB2312" w:cs="仿宋_GB2312"/>
                <w:sz w:val="24"/>
                <w:szCs w:val="24"/>
              </w:rPr>
            </w:pPr>
            <w:r>
              <w:rPr>
                <w:rFonts w:hint="eastAsia" w:ascii="仿宋_GB2312" w:hAnsi="仿宋_GB2312" w:eastAsia="仿宋_GB2312" w:cs="仿宋_GB2312"/>
                <w:sz w:val="24"/>
                <w:szCs w:val="24"/>
              </w:rPr>
              <w:t>牤牛河</w:t>
            </w:r>
            <w:r>
              <w:rPr>
                <w:rFonts w:ascii="仿宋_GB2312" w:hAnsi="仿宋_GB2312" w:eastAsia="仿宋_GB2312" w:cs="仿宋_GB2312"/>
                <w:sz w:val="24"/>
                <w:szCs w:val="24"/>
              </w:rPr>
              <w:t>生态修复工程。</w:t>
            </w:r>
            <w:r>
              <w:rPr>
                <w:rFonts w:hint="eastAsia" w:ascii="仿宋_GB2312" w:hAnsi="仿宋_GB2312" w:eastAsia="仿宋_GB2312" w:cs="仿宋_GB2312"/>
                <w:sz w:val="24"/>
                <w:szCs w:val="24"/>
              </w:rPr>
              <w:t>霸州</w:t>
            </w:r>
            <w:r>
              <w:rPr>
                <w:rFonts w:ascii="仿宋_GB2312" w:hAnsi="仿宋_GB2312" w:eastAsia="仿宋_GB2312" w:cs="仿宋_GB2312"/>
                <w:sz w:val="24"/>
                <w:szCs w:val="24"/>
              </w:rPr>
              <w:t>市区段，修复长度</w:t>
            </w:r>
            <w:r>
              <w:rPr>
                <w:rFonts w:hint="eastAsia" w:ascii="仿宋_GB2312" w:hAnsi="仿宋_GB2312" w:eastAsia="仿宋_GB2312" w:cs="仿宋_GB2312"/>
                <w:sz w:val="24"/>
                <w:szCs w:val="24"/>
              </w:rPr>
              <w:t>8千米。</w:t>
            </w:r>
          </w:p>
          <w:p>
            <w:pPr>
              <w:pStyle w:val="17"/>
              <w:numPr>
                <w:ilvl w:val="0"/>
                <w:numId w:val="1"/>
              </w:numPr>
              <w:spacing w:line="400" w:lineRule="exact"/>
              <w:ind w:firstLineChars="0"/>
              <w:rPr>
                <w:rFonts w:ascii="仿宋_GB2312" w:hAnsi="仿宋_GB2312" w:eastAsia="仿宋_GB2312" w:cs="仿宋_GB2312"/>
                <w:sz w:val="24"/>
                <w:szCs w:val="24"/>
              </w:rPr>
            </w:pPr>
            <w:r>
              <w:rPr>
                <w:rFonts w:hint="eastAsia" w:ascii="仿宋_GB2312" w:hAnsi="仿宋_GB2312" w:eastAsia="仿宋_GB2312" w:cs="仿宋_GB2312"/>
                <w:sz w:val="24"/>
                <w:szCs w:val="24"/>
              </w:rPr>
              <w:t>小</w:t>
            </w:r>
            <w:r>
              <w:rPr>
                <w:rFonts w:ascii="仿宋_GB2312" w:hAnsi="仿宋_GB2312" w:eastAsia="仿宋_GB2312" w:cs="仿宋_GB2312"/>
                <w:sz w:val="24"/>
                <w:szCs w:val="24"/>
              </w:rPr>
              <w:t>白河生态修复工程。</w:t>
            </w:r>
            <w:r>
              <w:rPr>
                <w:rFonts w:hint="eastAsia" w:ascii="仿宋_GB2312" w:hAnsi="仿宋_GB2312" w:eastAsia="仿宋_GB2312" w:cs="仿宋_GB2312"/>
                <w:sz w:val="24"/>
                <w:szCs w:val="24"/>
              </w:rPr>
              <w:t>文安</w:t>
            </w:r>
            <w:r>
              <w:rPr>
                <w:rFonts w:ascii="仿宋_GB2312" w:hAnsi="仿宋_GB2312" w:eastAsia="仿宋_GB2312" w:cs="仿宋_GB2312"/>
                <w:sz w:val="24"/>
                <w:szCs w:val="24"/>
              </w:rPr>
              <w:t>县城段</w:t>
            </w:r>
            <w:r>
              <w:rPr>
                <w:rFonts w:hint="eastAsia" w:ascii="仿宋_GB2312" w:hAnsi="仿宋_GB2312" w:eastAsia="仿宋_GB2312" w:cs="仿宋_GB2312"/>
                <w:sz w:val="24"/>
                <w:szCs w:val="24"/>
              </w:rPr>
              <w:t>，</w:t>
            </w:r>
            <w:r>
              <w:rPr>
                <w:rFonts w:ascii="仿宋_GB2312" w:hAnsi="仿宋_GB2312" w:eastAsia="仿宋_GB2312" w:cs="仿宋_GB2312"/>
                <w:sz w:val="24"/>
                <w:szCs w:val="24"/>
              </w:rPr>
              <w:t>修复长度</w:t>
            </w:r>
            <w:r>
              <w:rPr>
                <w:rFonts w:hint="eastAsia" w:ascii="仿宋_GB2312" w:hAnsi="仿宋_GB2312" w:eastAsia="仿宋_GB2312" w:cs="仿宋_GB2312"/>
                <w:sz w:val="24"/>
                <w:szCs w:val="24"/>
              </w:rPr>
              <w:t>5千米。</w:t>
            </w:r>
          </w:p>
          <w:p>
            <w:pPr>
              <w:pStyle w:val="17"/>
              <w:numPr>
                <w:ilvl w:val="0"/>
                <w:numId w:val="1"/>
              </w:numPr>
              <w:spacing w:line="400" w:lineRule="exact"/>
              <w:ind w:firstLineChars="0"/>
              <w:rPr>
                <w:rFonts w:ascii="仿宋_GB2312" w:hAnsi="仿宋_GB2312" w:eastAsia="仿宋_GB2312" w:cs="仿宋_GB2312"/>
                <w:sz w:val="24"/>
                <w:szCs w:val="24"/>
              </w:rPr>
            </w:pPr>
            <w:r>
              <w:rPr>
                <w:rFonts w:hint="eastAsia" w:ascii="仿宋_GB2312" w:hAnsi="仿宋_GB2312" w:eastAsia="仿宋_GB2312" w:cs="仿宋_GB2312"/>
                <w:sz w:val="24"/>
                <w:szCs w:val="24"/>
              </w:rPr>
              <w:t>子牙河</w:t>
            </w:r>
            <w:r>
              <w:rPr>
                <w:rFonts w:ascii="仿宋_GB2312" w:hAnsi="仿宋_GB2312" w:eastAsia="仿宋_GB2312" w:cs="仿宋_GB2312"/>
                <w:sz w:val="24"/>
                <w:szCs w:val="24"/>
              </w:rPr>
              <w:t>生态修复工程。</w:t>
            </w:r>
            <w:r>
              <w:rPr>
                <w:rFonts w:hint="eastAsia" w:ascii="仿宋_GB2312" w:hAnsi="仿宋_GB2312" w:eastAsia="仿宋_GB2312" w:cs="仿宋_GB2312"/>
                <w:sz w:val="24"/>
                <w:szCs w:val="24"/>
              </w:rPr>
              <w:t>大城</w:t>
            </w:r>
            <w:r>
              <w:rPr>
                <w:rFonts w:ascii="仿宋_GB2312" w:hAnsi="仿宋_GB2312" w:eastAsia="仿宋_GB2312" w:cs="仿宋_GB2312"/>
                <w:sz w:val="24"/>
                <w:szCs w:val="24"/>
              </w:rPr>
              <w:t>县城段，修复长度</w:t>
            </w:r>
            <w:r>
              <w:rPr>
                <w:rFonts w:hint="eastAsia" w:ascii="仿宋_GB2312" w:hAnsi="仿宋_GB2312" w:eastAsia="仿宋_GB2312" w:cs="仿宋_GB2312"/>
                <w:sz w:val="24"/>
                <w:szCs w:val="24"/>
              </w:rPr>
              <w:t>5千米。</w:t>
            </w:r>
          </w:p>
          <w:p>
            <w:pPr>
              <w:spacing w:line="400" w:lineRule="exact"/>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通过</w:t>
            </w:r>
            <w:r>
              <w:rPr>
                <w:rFonts w:ascii="仿宋_GB2312" w:hAnsi="仿宋_GB2312" w:eastAsia="仿宋_GB2312" w:cs="仿宋_GB2312"/>
                <w:sz w:val="24"/>
                <w:szCs w:val="24"/>
              </w:rPr>
              <w:t>实施南水北调配套工程和全市的水资源优化配置，改善河流水质</w:t>
            </w:r>
            <w:r>
              <w:rPr>
                <w:rFonts w:hint="eastAsia" w:ascii="仿宋_GB2312" w:hAnsi="仿宋_GB2312" w:eastAsia="仿宋_GB2312" w:cs="仿宋_GB2312"/>
                <w:sz w:val="24"/>
                <w:szCs w:val="24"/>
              </w:rPr>
              <w:t>，修</w:t>
            </w:r>
            <w:r>
              <w:rPr>
                <w:rFonts w:ascii="仿宋_GB2312" w:hAnsi="仿宋_GB2312" w:eastAsia="仿宋_GB2312" w:cs="仿宋_GB2312"/>
                <w:sz w:val="24"/>
                <w:szCs w:val="24"/>
              </w:rPr>
              <w:t>复</w:t>
            </w:r>
            <w:r>
              <w:rPr>
                <w:rFonts w:hint="eastAsia" w:ascii="仿宋_GB2312" w:hAnsi="仿宋_GB2312" w:eastAsia="仿宋_GB2312" w:cs="仿宋_GB2312"/>
                <w:sz w:val="24"/>
                <w:szCs w:val="24"/>
              </w:rPr>
              <w:t>河流</w:t>
            </w:r>
            <w:r>
              <w:rPr>
                <w:rFonts w:ascii="仿宋_GB2312" w:hAnsi="仿宋_GB2312" w:eastAsia="仿宋_GB2312" w:cs="仿宋_GB2312"/>
                <w:sz w:val="24"/>
                <w:szCs w:val="24"/>
              </w:rPr>
              <w:t>水</w:t>
            </w:r>
            <w:r>
              <w:rPr>
                <w:rFonts w:hint="eastAsia" w:ascii="仿宋_GB2312" w:hAnsi="仿宋_GB2312" w:eastAsia="仿宋_GB2312" w:cs="仿宋_GB2312"/>
                <w:sz w:val="24"/>
                <w:szCs w:val="24"/>
              </w:rPr>
              <w:t>体连</w:t>
            </w:r>
            <w:r>
              <w:rPr>
                <w:rFonts w:ascii="仿宋_GB2312" w:hAnsi="仿宋_GB2312" w:eastAsia="仿宋_GB2312" w:cs="仿宋_GB2312"/>
                <w:sz w:val="24"/>
                <w:szCs w:val="24"/>
              </w:rPr>
              <w:t>通</w:t>
            </w:r>
            <w:r>
              <w:rPr>
                <w:rFonts w:hint="eastAsia" w:ascii="仿宋_GB2312" w:hAnsi="仿宋_GB2312" w:eastAsia="仿宋_GB2312" w:cs="仿宋_GB2312"/>
                <w:sz w:val="24"/>
                <w:szCs w:val="24"/>
              </w:rPr>
              <w:t>功能</w:t>
            </w:r>
            <w:r>
              <w:rPr>
                <w:rFonts w:ascii="仿宋_GB2312" w:hAnsi="仿宋_GB2312" w:eastAsia="仿宋_GB2312" w:cs="仿宋_GB2312"/>
                <w:sz w:val="24"/>
                <w:szCs w:val="24"/>
              </w:rPr>
              <w:t>、水质净化功能、生境维持功能、景观环境功能，提高生物多样性，实现水清、岸绿、人水和谐，河流健康。</w:t>
            </w:r>
          </w:p>
        </w:tc>
      </w:tr>
    </w:tbl>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4、加强集中式饮用水水源地保护</w:t>
      </w:r>
    </w:p>
    <w:p>
      <w:pPr>
        <w:ind w:firstLine="640" w:firstLineChars="200"/>
        <w:rPr>
          <w:rFonts w:ascii="仿宋_GB2312" w:hAnsi="仿宋_GB2312" w:eastAsia="仿宋_GB2312" w:cs="仿宋_GB2312"/>
          <w:color w:val="FF0000"/>
          <w:sz w:val="32"/>
          <w:szCs w:val="32"/>
        </w:rPr>
      </w:pPr>
      <w:r>
        <w:rPr>
          <w:rFonts w:hint="eastAsia" w:ascii="仿宋_GB2312" w:hAnsi="仿宋_GB2312" w:eastAsia="仿宋_GB2312" w:cs="仿宋_GB2312"/>
          <w:sz w:val="32"/>
          <w:szCs w:val="32"/>
        </w:rPr>
        <w:t>严格实施饮用水水源地保护规划，大力加强全市水源地保护工作。积极谋划推动广阳水库和文安马武营水库等水源地建设。严格划定水源地保护区，以水源井取水口为中心，半径不小于30米的范围，确定为一级保护区；以一级保护区外边线为基线，向四周外延500米的范围，确定为二级保护区。全面排查饮用水水源保护区、准保护区内及上游地区的安全风险隐患，严格建设项目管理，严厉打击一切威胁水质安全的环境违法行为。清理水源地周边的排污口，设置隔离防护设施，确保水源地安全。强化水质监测工作，定期公布水质状况。到2020年，城市集中式用水水源地水质达标率稳定保持在100%，乡镇以上饮用水水源地全部得到有效保护。</w:t>
      </w:r>
    </w:p>
    <w:tbl>
      <w:tblPr>
        <w:tblStyle w:val="10"/>
        <w:tblW w:w="874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7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49" w:type="dxa"/>
            <w:shd w:val="clear" w:color="auto" w:fill="auto"/>
          </w:tcPr>
          <w:p>
            <w:pPr>
              <w:spacing w:line="400" w:lineRule="exact"/>
              <w:rPr>
                <w:rFonts w:ascii="仿宋_GB2312" w:hAnsi="仿宋_GB2312" w:eastAsia="仿宋_GB2312" w:cs="仿宋_GB2312"/>
                <w:sz w:val="24"/>
                <w:szCs w:val="24"/>
              </w:rPr>
            </w:pPr>
            <w:r>
              <w:rPr>
                <w:rFonts w:hint="eastAsia" w:ascii="仿宋_GB2312" w:hAnsi="仿宋_GB2312" w:eastAsia="仿宋_GB2312" w:cs="仿宋_GB2312"/>
                <w:sz w:val="24"/>
                <w:szCs w:val="24"/>
              </w:rPr>
              <w:t>专栏3  廊坊市集中式饮用水水源保护区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49" w:type="dxa"/>
            <w:shd w:val="clear" w:color="auto" w:fill="auto"/>
          </w:tcPr>
          <w:p>
            <w:pPr>
              <w:spacing w:line="400" w:lineRule="exact"/>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主要有廊坊市新水源地、廊坊市城区水源地、廊坊市经济技术开发区水源地；霸州市城区现有水源地、霸州市南孟水源地;三河市李秉全水源地、三河市</w:t>
            </w:r>
            <w:r>
              <w:rPr>
                <w:rFonts w:hint="eastAsia" w:ascii="宋体" w:hAnsi="宋体" w:cs="宋体"/>
                <w:sz w:val="24"/>
                <w:szCs w:val="24"/>
              </w:rPr>
              <w:t>泃</w:t>
            </w:r>
            <w:r>
              <w:rPr>
                <w:rFonts w:hint="eastAsia" w:ascii="仿宋_GB2312" w:hAnsi="仿宋_GB2312" w:eastAsia="仿宋_GB2312" w:cs="仿宋_GB2312"/>
                <w:sz w:val="24"/>
                <w:szCs w:val="24"/>
              </w:rPr>
              <w:t>河湾水源地。</w:t>
            </w:r>
          </w:p>
        </w:tc>
      </w:tr>
    </w:tbl>
    <w:p>
      <w:pPr>
        <w:rPr>
          <w:rFonts w:ascii="仿宋_GB2312" w:hAnsi="仿宋_GB2312" w:eastAsia="仿宋_GB2312" w:cs="仿宋_GB2312"/>
          <w:sz w:val="32"/>
          <w:szCs w:val="32"/>
        </w:rPr>
      </w:pP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5、实施地下水超采综合治理</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通过“节、引、蓄、调、管”等综合措施，深入实施地下水超采治理。强化安次、广阳、永清、霸州、文安和大城等县(市、区)深层严重超采区地下漏斗监控。实施最严格的水资源管理制度。加强雨水储水设施建设和依托“引黄入廊”工程，补充河流干渠地表水和引水灌溉耕地。探索建立水生态补偿机制。到2020年基本实现地下水采补平衡。</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（1）推进产业结构的适水调整</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发展节水高效农业，以节水、增效为目标，限制和压缩高耗水、低产出作物的种植面积，推广抗旱、高产、优质农作物品种，调整种植结构，试行退地减水，加快实施大中型灌区续建配套和节水改造，大力实施农田节水工程建设，规模化推进高效节水灌溉，推广渠道防渗、管道输水、喷灌、微灌等节水灌溉技术，健全灌溉用水计量设施，因地制宜实施雨水积蓄补灌措施。到2020年，农田灌溉用水有效利用系数达到0.7以上。大力推广工业水循环利用、高效冷却、热力系统节水、洗涤节水等通用节水工艺和技术。新、改、扩建项目用水指标应达到行业先进水平。对发电等高耗水产业，强行推行中水回用，提高用水重复率。到2020年，万元工业增加值用水量比2014年降低50%以上，基本实现工业用水零增长，农业用水负增长，达到国家节水型城市标准要求。</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（2）加强非常规水源利用替代地下水</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大力推进城镇污水集中处理后再生利用。建设再生水输水管网、渠系和田间配套工程，合理确定再生水价格，道路喷洒、洗车、景观用水等全部使用再生水。在井灌区替代部分农业灌溉用水，在工业园区满足部分工业用水需求。推进规模化居民生活小区及新建大型文化、教育、宾馆、饭店配套建设中水利用设施，实施城区雨污分流改造工程，加强城市雨水利用，逐步增加城市河湖绿地雨水使用量和地下水入渗补给量，充分利用雨洪资源。</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6、实施最严格的水资源保护和管理制度</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全面落实最严格水资源管理制度，坚守水资源开发利用控制、用水效率控制和水功能区限制纳污控制“三条红线”，严格考核奖惩。认真执行《河北省地下水管理条例》和《廊坊市人民政府关于公布平原区地下水超采区、禁采区和限采区范围的通知》的有关规定。完善建设项目水资源论证制度，对未经批准擅自取水的单位或个人，责令其停止违法行为，限期采取补救措施。对已取得取水许可的单位或个人，加强用水计划管理，安装远程监控系统，实现流量数据的实时自动采集与传输，适时逐步开展自备井关停和地下水压采工作。加强地下水位动态监测系统建设，逐步完善地下水资源监控能力。加快节水型社会建设步伐，加强地下水节约、保护宣传工作，普及节水知识，鼓励使用非常规水源，提高水资源利用率，严格控制高耗水行业的发展。到2020年，建成节水型社会。落实《河北省实行河长制工作方案》，出台全市河长制实施办法，到2017年底前，所有县（市、区）、乡各级都要全面建立河长制工作制度，并向社会公布。 </w:t>
      </w:r>
    </w:p>
    <w:p>
      <w:pPr>
        <w:pStyle w:val="3"/>
      </w:pPr>
      <w:bookmarkStart w:id="21" w:name="_Toc445718898"/>
      <w:r>
        <w:rPr>
          <w:rFonts w:hint="eastAsia"/>
        </w:rPr>
        <w:t>（二）森林建设与保护</w:t>
      </w:r>
      <w:bookmarkEnd w:id="21"/>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2014年，全市有林地面积15万公顷，森林覆盖率23.3%。通过城乡绿化整体推进，城乡大规模的植树扩绿，乔、灌、花、草相搭配，构建以绿色廊道为框架，以农田林网为脉络，以经济林、苗木花卉建设为基地，以城镇村庄绿化为亮点的较为完备的森林体系。</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主要生态问题：一是廊道绿化尚未完善，分布不均。在廊道绿化上，全市仍有一些未绿化的河、渠、路、堤，特别是县、乡、村道路仍有绿化空间。二是村庄绿化仍有差距。存在绿量不足、档次不高、亮点不突出等问题，按照国家森林城市绿化覆盖率30%的标准，全市仍有722个村庄未达标。三是农田林网不健全，防护效益低。仍有近三成的农田未建防护林网，且已建防护林网标准不高。四是生态功能弱，稳定性差。水源涵养林、三北防护林等林业建设工程生态服务功能不强。林分抵御自然灾害的能力差，病虫危害和防火形势严峻。</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修复重点：实施水源涵养林、三北防护林、高标准农田防护林网等林业建设工程，加强城市、乡镇、村庄、廊道绿化，提高森林质量，加强生物多样性保护，严防森林火灾和病虫危害。</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主要修复措施：</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1、持续提升全市绿化水平</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以创建国家平原森林城市为目标，提升造林标准和景观效果，持续推进生态廊道、规模化造林、村庄绿化、环京津边界绿化、重要交节点绿化、城镇绿化、名优林果苗木基地、高标准农田林网八项重点工程，全力打造“十城”（廊坊主城区、8个县市城区、廊坊开发区）、“二带”（环首都、天津边界生态景观带）、“三网”（河渠水系、道路、农田林网）、“三点”（园区、城镇、村庄绿化）为一体的多功能森林生态体系。</w:t>
      </w:r>
    </w:p>
    <w:p>
      <w:pPr>
        <w:spacing w:line="600" w:lineRule="exact"/>
        <w:ind w:firstLine="640" w:firstLineChars="200"/>
        <w:rPr>
          <w:rFonts w:eastAsia="仿宋_GB2312"/>
          <w:sz w:val="32"/>
          <w:szCs w:val="32"/>
        </w:rPr>
      </w:pPr>
      <w:r>
        <w:rPr>
          <w:rFonts w:ascii="仿宋_GB2312" w:hAnsi="楷体_GB2312" w:eastAsia="仿宋_GB2312" w:cs="楷体_GB2312"/>
          <w:bCs/>
          <w:sz w:val="32"/>
          <w:szCs w:val="32"/>
        </w:rPr>
        <w:t>建设北部园林风景生态区</w:t>
      </w:r>
      <w:r>
        <w:rPr>
          <w:rFonts w:hint="eastAsia" w:ascii="仿宋_GB2312" w:hAnsi="楷体_GB2312" w:eastAsia="仿宋_GB2312" w:cs="楷体_GB2312"/>
          <w:bCs/>
          <w:sz w:val="32"/>
          <w:szCs w:val="32"/>
        </w:rPr>
        <w:t>（三</w:t>
      </w:r>
      <w:r>
        <w:rPr>
          <w:rFonts w:hint="eastAsia" w:eastAsia="仿宋_GB2312"/>
          <w:sz w:val="32"/>
          <w:szCs w:val="32"/>
        </w:rPr>
        <w:t>河、大厂、香河）</w:t>
      </w:r>
      <w:r>
        <w:rPr>
          <w:rFonts w:hint="eastAsia" w:eastAsia="楷体_GB2312"/>
          <w:bCs/>
          <w:sz w:val="32"/>
          <w:szCs w:val="32"/>
        </w:rPr>
        <w:t>。</w:t>
      </w:r>
      <w:r>
        <w:rPr>
          <w:rFonts w:eastAsia="仿宋_GB2312"/>
          <w:sz w:val="32"/>
          <w:szCs w:val="32"/>
        </w:rPr>
        <w:t>以“森林绿景、生态氧吧”为主题，以潮白河流域园林景观</w:t>
      </w:r>
      <w:r>
        <w:rPr>
          <w:rFonts w:hint="eastAsia" w:eastAsia="仿宋_GB2312"/>
          <w:sz w:val="32"/>
          <w:szCs w:val="32"/>
        </w:rPr>
        <w:t>建设为链</w:t>
      </w:r>
      <w:r>
        <w:rPr>
          <w:rFonts w:eastAsia="仿宋_GB2312"/>
          <w:sz w:val="32"/>
          <w:szCs w:val="32"/>
        </w:rPr>
        <w:t>接</w:t>
      </w:r>
      <w:r>
        <w:rPr>
          <w:rFonts w:hint="eastAsia" w:eastAsia="仿宋_GB2312"/>
          <w:sz w:val="32"/>
          <w:szCs w:val="32"/>
        </w:rPr>
        <w:t>，打造</w:t>
      </w:r>
      <w:r>
        <w:rPr>
          <w:rFonts w:eastAsia="仿宋_GB2312"/>
          <w:sz w:val="32"/>
          <w:szCs w:val="32"/>
        </w:rPr>
        <w:t>“六河七廊五湖十园”</w:t>
      </w:r>
      <w:r>
        <w:rPr>
          <w:rFonts w:hint="eastAsia" w:eastAsia="仿宋_GB2312"/>
          <w:sz w:val="32"/>
          <w:szCs w:val="32"/>
        </w:rPr>
        <w:t>生态</w:t>
      </w:r>
      <w:r>
        <w:rPr>
          <w:rFonts w:eastAsia="仿宋_GB2312"/>
          <w:sz w:val="32"/>
          <w:szCs w:val="32"/>
        </w:rPr>
        <w:t>框架</w:t>
      </w:r>
      <w:r>
        <w:rPr>
          <w:rFonts w:hint="eastAsia" w:eastAsia="仿宋_GB2312"/>
          <w:sz w:val="32"/>
          <w:szCs w:val="32"/>
        </w:rPr>
        <w:t>。绿化</w:t>
      </w:r>
      <w:r>
        <w:rPr>
          <w:rFonts w:eastAsia="仿宋_GB2312"/>
          <w:sz w:val="32"/>
          <w:szCs w:val="32"/>
        </w:rPr>
        <w:t>所有宜林地</w:t>
      </w:r>
      <w:r>
        <w:rPr>
          <w:rFonts w:hint="eastAsia" w:eastAsia="仿宋_GB2312"/>
          <w:sz w:val="32"/>
          <w:szCs w:val="32"/>
        </w:rPr>
        <w:t>、绿化</w:t>
      </w:r>
      <w:r>
        <w:rPr>
          <w:rFonts w:eastAsia="仿宋_GB2312"/>
          <w:sz w:val="32"/>
          <w:szCs w:val="32"/>
        </w:rPr>
        <w:t>所有能流转出来的</w:t>
      </w:r>
      <w:r>
        <w:rPr>
          <w:rFonts w:hint="eastAsia" w:eastAsia="仿宋_GB2312"/>
          <w:sz w:val="32"/>
          <w:szCs w:val="32"/>
        </w:rPr>
        <w:t>应绿化</w:t>
      </w:r>
      <w:r>
        <w:rPr>
          <w:rFonts w:eastAsia="仿宋_GB2312"/>
          <w:sz w:val="32"/>
          <w:szCs w:val="32"/>
        </w:rPr>
        <w:t>土地，提高绿化档次和水平，实现与北京</w:t>
      </w:r>
      <w:r>
        <w:rPr>
          <w:rFonts w:hint="eastAsia" w:eastAsia="仿宋_GB2312"/>
          <w:sz w:val="32"/>
          <w:szCs w:val="32"/>
        </w:rPr>
        <w:t>绿化</w:t>
      </w:r>
      <w:r>
        <w:rPr>
          <w:rFonts w:eastAsia="仿宋_GB2312"/>
          <w:sz w:val="32"/>
          <w:szCs w:val="32"/>
        </w:rPr>
        <w:t>的倒梯度差，成为京津之间的“绿宝石”</w:t>
      </w:r>
      <w:r>
        <w:rPr>
          <w:rFonts w:hint="eastAsia" w:eastAsia="仿宋_GB2312"/>
          <w:sz w:val="32"/>
          <w:szCs w:val="32"/>
        </w:rPr>
        <w:t>、</w:t>
      </w:r>
      <w:r>
        <w:rPr>
          <w:rFonts w:eastAsia="仿宋_GB2312"/>
          <w:sz w:val="32"/>
          <w:szCs w:val="32"/>
        </w:rPr>
        <w:t>全省现代林业发展</w:t>
      </w:r>
      <w:r>
        <w:rPr>
          <w:rFonts w:hint="eastAsia" w:eastAsia="仿宋_GB2312"/>
          <w:sz w:val="32"/>
          <w:szCs w:val="32"/>
        </w:rPr>
        <w:t>的</w:t>
      </w:r>
      <w:r>
        <w:rPr>
          <w:rFonts w:eastAsia="仿宋_GB2312"/>
          <w:sz w:val="32"/>
          <w:szCs w:val="32"/>
        </w:rPr>
        <w:t>示范区。</w:t>
      </w:r>
    </w:p>
    <w:p>
      <w:pPr>
        <w:spacing w:line="600" w:lineRule="exact"/>
        <w:ind w:firstLine="640" w:firstLineChars="200"/>
        <w:rPr>
          <w:rFonts w:eastAsia="仿宋_GB2312"/>
          <w:sz w:val="32"/>
          <w:szCs w:val="32"/>
        </w:rPr>
      </w:pPr>
      <w:r>
        <w:rPr>
          <w:rFonts w:ascii="仿宋_GB2312" w:hAnsi="楷体_GB2312" w:eastAsia="仿宋_GB2312" w:cs="楷体_GB2312"/>
          <w:bCs/>
          <w:sz w:val="32"/>
          <w:szCs w:val="32"/>
        </w:rPr>
        <w:t>建设中部名优林果生态区</w:t>
      </w:r>
      <w:r>
        <w:rPr>
          <w:rFonts w:hint="eastAsia" w:ascii="仿宋_GB2312" w:hAnsi="楷体_GB2312" w:eastAsia="仿宋_GB2312" w:cs="楷体_GB2312"/>
          <w:bCs/>
          <w:sz w:val="32"/>
          <w:szCs w:val="32"/>
        </w:rPr>
        <w:t>（广阳、安次、固安、永清</w:t>
      </w:r>
      <w:r>
        <w:rPr>
          <w:rFonts w:ascii="仿宋_GB2312" w:hAnsi="楷体_GB2312" w:eastAsia="仿宋_GB2312" w:cs="楷体_GB2312"/>
          <w:bCs/>
          <w:sz w:val="32"/>
          <w:szCs w:val="32"/>
        </w:rPr>
        <w:t>、</w:t>
      </w:r>
      <w:r>
        <w:rPr>
          <w:rFonts w:hint="eastAsia" w:ascii="仿宋_GB2312" w:hAnsi="楷体_GB2312" w:eastAsia="仿宋_GB2312" w:cs="楷体_GB2312"/>
          <w:bCs/>
          <w:sz w:val="32"/>
          <w:szCs w:val="32"/>
        </w:rPr>
        <w:t>霸州、</w:t>
      </w:r>
      <w:r>
        <w:rPr>
          <w:rFonts w:ascii="仿宋_GB2312" w:hAnsi="楷体_GB2312" w:eastAsia="仿宋_GB2312" w:cs="楷体_GB2312"/>
          <w:bCs/>
          <w:sz w:val="32"/>
          <w:szCs w:val="32"/>
        </w:rPr>
        <w:t>廊坊开发区</w:t>
      </w:r>
      <w:r>
        <w:rPr>
          <w:rFonts w:hint="eastAsia" w:ascii="仿宋_GB2312" w:hAnsi="楷体_GB2312" w:eastAsia="仿宋_GB2312" w:cs="楷体_GB2312"/>
          <w:bCs/>
          <w:sz w:val="32"/>
          <w:szCs w:val="32"/>
        </w:rPr>
        <w:t>）。</w:t>
      </w:r>
      <w:r>
        <w:rPr>
          <w:rFonts w:ascii="仿宋_GB2312" w:hAnsi="楷体_GB2312" w:eastAsia="仿宋_GB2312" w:cs="楷体_GB2312"/>
          <w:bCs/>
          <w:sz w:val="32"/>
          <w:szCs w:val="32"/>
        </w:rPr>
        <w:t>以“田园绿海、休闲采摘”为主题，</w:t>
      </w:r>
      <w:r>
        <w:rPr>
          <w:rFonts w:eastAsia="仿宋_GB2312"/>
          <w:sz w:val="32"/>
          <w:szCs w:val="32"/>
        </w:rPr>
        <w:t>以永定河流域名优特林果基地建设为链接，</w:t>
      </w:r>
      <w:r>
        <w:rPr>
          <w:rFonts w:hint="eastAsia" w:eastAsia="仿宋_GB2312"/>
          <w:sz w:val="32"/>
          <w:szCs w:val="32"/>
        </w:rPr>
        <w:t>以绿廊建设为重点，</w:t>
      </w:r>
      <w:r>
        <w:rPr>
          <w:rFonts w:eastAsia="仿宋_GB2312"/>
          <w:sz w:val="32"/>
          <w:szCs w:val="32"/>
        </w:rPr>
        <w:t>改造现有的，增加名优的，保护古老的，</w:t>
      </w:r>
      <w:r>
        <w:rPr>
          <w:rFonts w:hint="eastAsia" w:eastAsia="仿宋_GB2312"/>
          <w:sz w:val="32"/>
          <w:szCs w:val="32"/>
        </w:rPr>
        <w:t>全面推进</w:t>
      </w:r>
      <w:r>
        <w:rPr>
          <w:rFonts w:eastAsia="仿宋_GB2312"/>
          <w:sz w:val="32"/>
          <w:szCs w:val="32"/>
        </w:rPr>
        <w:t>原有林木、果树上档升级，实现林果并重，生态、经济、保健、美化、固碳五大功能为一体。</w:t>
      </w:r>
    </w:p>
    <w:p>
      <w:pPr>
        <w:ind w:firstLine="640" w:firstLineChars="200"/>
        <w:rPr>
          <w:rFonts w:eastAsia="楷体_GB2312"/>
          <w:bCs/>
          <w:sz w:val="32"/>
          <w:szCs w:val="32"/>
        </w:rPr>
      </w:pPr>
      <w:r>
        <w:rPr>
          <w:rFonts w:ascii="仿宋_GB2312" w:hAnsi="楷体_GB2312" w:eastAsia="仿宋_GB2312" w:cs="楷体_GB2312"/>
          <w:bCs/>
          <w:sz w:val="32"/>
          <w:szCs w:val="32"/>
        </w:rPr>
        <w:t>建设京南森林湿地生态</w:t>
      </w:r>
      <w:r>
        <w:rPr>
          <w:rFonts w:hint="eastAsia" w:ascii="仿宋_GB2312" w:hAnsi="楷体_GB2312" w:eastAsia="仿宋_GB2312" w:cs="楷体_GB2312"/>
          <w:bCs/>
          <w:sz w:val="32"/>
          <w:szCs w:val="32"/>
        </w:rPr>
        <w:t>走廊。</w:t>
      </w:r>
      <w:r>
        <w:rPr>
          <w:rFonts w:ascii="仿宋_GB2312" w:hAnsi="楷体_GB2312" w:eastAsia="仿宋_GB2312" w:cs="楷体_GB2312"/>
          <w:bCs/>
          <w:sz w:val="32"/>
          <w:szCs w:val="32"/>
        </w:rPr>
        <w:t>以“增</w:t>
      </w:r>
      <w:r>
        <w:rPr>
          <w:rFonts w:eastAsia="仿宋_GB2312"/>
          <w:sz w:val="32"/>
          <w:szCs w:val="32"/>
        </w:rPr>
        <w:t>林扩绿、产业发展”为主题，以大清河流域</w:t>
      </w:r>
      <w:r>
        <w:rPr>
          <w:rFonts w:hint="eastAsia" w:eastAsia="仿宋_GB2312"/>
          <w:sz w:val="32"/>
          <w:szCs w:val="32"/>
        </w:rPr>
        <w:t>森林湿地建设</w:t>
      </w:r>
      <w:r>
        <w:rPr>
          <w:rFonts w:eastAsia="仿宋_GB2312"/>
          <w:sz w:val="32"/>
          <w:szCs w:val="32"/>
        </w:rPr>
        <w:t>为链接，积极发展速生丰产林基地、果品基地，</w:t>
      </w:r>
      <w:r>
        <w:rPr>
          <w:rFonts w:hint="eastAsia" w:eastAsia="仿宋_GB2312"/>
          <w:sz w:val="32"/>
          <w:szCs w:val="32"/>
        </w:rPr>
        <w:t>完善</w:t>
      </w:r>
      <w:r>
        <w:rPr>
          <w:rFonts w:eastAsia="仿宋_GB2312"/>
          <w:sz w:val="32"/>
          <w:szCs w:val="32"/>
        </w:rPr>
        <w:t>农田林网，</w:t>
      </w:r>
      <w:r>
        <w:rPr>
          <w:rFonts w:hint="eastAsia" w:eastAsia="仿宋_GB2312"/>
          <w:sz w:val="32"/>
          <w:szCs w:val="32"/>
        </w:rPr>
        <w:t>大力发展</w:t>
      </w:r>
      <w:r>
        <w:rPr>
          <w:rFonts w:eastAsia="仿宋_GB2312"/>
          <w:sz w:val="32"/>
          <w:szCs w:val="32"/>
        </w:rPr>
        <w:t>湿地公园、森林公园，推进南三县湿地连片开发</w:t>
      </w:r>
      <w:r>
        <w:rPr>
          <w:rFonts w:hint="eastAsia" w:eastAsia="仿宋_GB2312"/>
          <w:sz w:val="32"/>
          <w:szCs w:val="32"/>
        </w:rPr>
        <w:t>，建成</w:t>
      </w:r>
      <w:r>
        <w:rPr>
          <w:rFonts w:eastAsia="仿宋_GB2312"/>
          <w:sz w:val="32"/>
          <w:szCs w:val="32"/>
        </w:rPr>
        <w:t>东</w:t>
      </w:r>
      <w:r>
        <w:rPr>
          <w:rFonts w:hint="eastAsia" w:eastAsia="仿宋_GB2312"/>
          <w:sz w:val="32"/>
          <w:szCs w:val="32"/>
        </w:rPr>
        <w:t>联</w:t>
      </w:r>
      <w:r>
        <w:rPr>
          <w:rFonts w:eastAsia="仿宋_GB2312"/>
          <w:sz w:val="32"/>
          <w:szCs w:val="32"/>
        </w:rPr>
        <w:t>天津、西</w:t>
      </w:r>
      <w:r>
        <w:rPr>
          <w:rFonts w:hint="eastAsia" w:eastAsia="仿宋_GB2312"/>
          <w:sz w:val="32"/>
          <w:szCs w:val="32"/>
        </w:rPr>
        <w:t>接</w:t>
      </w:r>
      <w:r>
        <w:rPr>
          <w:rFonts w:eastAsia="仿宋_GB2312"/>
          <w:sz w:val="32"/>
          <w:szCs w:val="32"/>
        </w:rPr>
        <w:t>白洋淀</w:t>
      </w:r>
      <w:r>
        <w:rPr>
          <w:rFonts w:hint="eastAsia" w:eastAsia="仿宋_GB2312"/>
          <w:sz w:val="32"/>
          <w:szCs w:val="32"/>
        </w:rPr>
        <w:t>，绵延</w:t>
      </w:r>
      <w:r>
        <w:rPr>
          <w:rFonts w:eastAsia="仿宋_GB2312"/>
          <w:sz w:val="32"/>
          <w:szCs w:val="32"/>
        </w:rPr>
        <w:t>一体的森林湿地生态走廊。</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到2017年，全市森林覆盖率达到32%以上，城区绿化覆盖率达到44%以上，村庄树木绿化率达到30%以上，乔木栽植面积占绿地面积的60%以上，人均公园绿地面积达到14.5平方米以上；道路、河流林木绿化率达到85%以上，其它各项指标全部达到或超过国家森林城市建设标准，力争2017年底前后通过国家森林城市验收。到2020年，完成新造林和更新造林3.3万公顷以上，全市有林地增加到20.6万公顷，森林覆盖率保持在35%。到2030年，建成功能完备的“田园绿海、廊道绿带、城镇绿景、村庄绿荫”生态体系，把廊坊打造成京津走廊上的“绿色明珠”。</w:t>
      </w:r>
    </w:p>
    <w:tbl>
      <w:tblPr>
        <w:tblStyle w:val="10"/>
        <w:tblW w:w="82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trPr>
        <w:tc>
          <w:tcPr>
            <w:tcW w:w="8296" w:type="dxa"/>
            <w:shd w:val="clear" w:color="auto" w:fill="auto"/>
          </w:tcPr>
          <w:p>
            <w:pPr>
              <w:spacing w:line="400" w:lineRule="exact"/>
              <w:rPr>
                <w:rFonts w:ascii="仿宋_GB2312" w:hAnsi="仿宋_GB2312" w:eastAsia="仿宋_GB2312" w:cs="仿宋_GB2312"/>
                <w:sz w:val="24"/>
                <w:szCs w:val="24"/>
              </w:rPr>
            </w:pPr>
            <w:r>
              <w:rPr>
                <w:rFonts w:hint="eastAsia" w:ascii="仿宋_GB2312" w:hAnsi="仿宋_GB2312" w:eastAsia="仿宋_GB2312" w:cs="仿宋_GB2312"/>
                <w:sz w:val="24"/>
                <w:szCs w:val="24"/>
              </w:rPr>
              <w:t>专栏4  森林生态重点工程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3" w:hRule="atLeast"/>
        </w:trPr>
        <w:tc>
          <w:tcPr>
            <w:tcW w:w="8296" w:type="dxa"/>
            <w:shd w:val="clear" w:color="auto" w:fill="auto"/>
          </w:tcPr>
          <w:p>
            <w:pPr>
              <w:spacing w:line="400" w:lineRule="exact"/>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（1）水源涵养林基地建设工程</w:t>
            </w:r>
            <w:r>
              <w:rPr>
                <w:rFonts w:hint="eastAsia" w:ascii="仿宋_GB2312" w:hAnsi="仿宋_GB2312" w:eastAsia="仿宋_GB2312" w:cs="仿宋_GB2312"/>
                <w:sz w:val="24"/>
                <w:szCs w:val="24"/>
              </w:rPr>
              <w:tab/>
            </w:r>
            <w:r>
              <w:rPr>
                <w:rFonts w:hint="eastAsia" w:ascii="仿宋_GB2312" w:hAnsi="仿宋_GB2312" w:eastAsia="仿宋_GB2312" w:cs="仿宋_GB2312"/>
                <w:sz w:val="24"/>
                <w:szCs w:val="24"/>
              </w:rPr>
              <w:t>。布局建设海河流域中下游的永清县、固安县、霸州市、文安县、大城县五个县（市），示范带动水源涵养林功能建设。到2020年完成造林6700公顷。</w:t>
            </w:r>
          </w:p>
          <w:p>
            <w:pPr>
              <w:spacing w:line="400" w:lineRule="exact"/>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2）三北防护林建设工程。在安次区、广阳区、三河市、大厂县、香河县、永清县、固安县、霸州市、文安县、大城县10个县（市、区），建设和完善网、带、片相结合的高效农田防护林体系。到2020年完成造林绿化2.6万公顷。</w:t>
            </w:r>
          </w:p>
          <w:p>
            <w:pPr>
              <w:spacing w:line="400" w:lineRule="exact"/>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生态廊道绿化工程。在铁路、高速公路、国道和主要河道两侧不低于100米，省道不低于50米范围内，高标准营建点线面结合、层次多样的风景带和经济林带。对铁路、公路界内边坡、护坡沟、沟外平台及中央分隔带实现全部绿化。</w:t>
            </w:r>
          </w:p>
          <w:p>
            <w:pPr>
              <w:spacing w:line="400" w:lineRule="exact"/>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4）城镇绿化工程。以改善城镇生态环境、提升人居质量为重点，在廊坊主城区、县（市）城区、40个园区（开发区）和乡镇所在地，加快城镇绿化步伐，打造国家平原森林城市、生态城市，重点抓好城镇道路、小区绿化、立体绿化、公园绿地和城郊防护林带、风景林带建设，构建总量适宜、分布合理、景观优美、环境良好的城镇生态系统。</w:t>
            </w:r>
          </w:p>
          <w:p>
            <w:pPr>
              <w:spacing w:line="400" w:lineRule="exact"/>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（5）村庄绿化工程。以环村林建设为重点，结合美丽乡村建设，以乡土树种为主，大力开展村庄“四旁”植树，实施村庄街道、庭院、隙地绿化，努力打造绿树成荫、生态宜居的美丽乡村。</w:t>
            </w:r>
          </w:p>
          <w:p>
            <w:pPr>
              <w:spacing w:line="400" w:lineRule="exact"/>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（6）高标准农田防护林网工程</w:t>
            </w:r>
            <w:r>
              <w:rPr>
                <w:rFonts w:hint="eastAsia" w:ascii="仿宋_GB2312" w:hAnsi="仿宋_GB2312" w:eastAsia="仿宋_GB2312" w:cs="仿宋_GB2312"/>
                <w:sz w:val="24"/>
                <w:szCs w:val="24"/>
              </w:rPr>
              <w:tab/>
            </w:r>
            <w:r>
              <w:rPr>
                <w:rFonts w:hint="eastAsia" w:ascii="仿宋_GB2312" w:hAnsi="仿宋_GB2312" w:eastAsia="仿宋_GB2312" w:cs="仿宋_GB2312"/>
                <w:sz w:val="24"/>
                <w:szCs w:val="24"/>
              </w:rPr>
              <w:t>。依托规模经营主体，建设网格面积20公顷左右、以高大乔木为主的高标准农田防护林，实现全市所有农田四周、田间道路、河渠两侧的全覆盖。</w:t>
            </w:r>
          </w:p>
          <w:p>
            <w:pPr>
              <w:spacing w:line="400" w:lineRule="exact"/>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（7）首都新机场周边生态景观森林工程。在首都新机场周边，结合退出的耕地，营造乔灌草结合的复层生态系统结构，连片建设景观林带，提升机场周围景观效果。</w:t>
            </w:r>
          </w:p>
          <w:p>
            <w:pPr>
              <w:spacing w:line="400" w:lineRule="exact"/>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8）京南森林生态走廊工程。在中南部的文安、霸州和大城三县（市），依托现有森林资源，充分挖掘宜林地空间，大力植树增绿，新增造林3.5万公顷，与原有森林连接起来，实现森林景观的整体闭合，打造成方连片的森林生态走廊景观。</w:t>
            </w:r>
          </w:p>
        </w:tc>
      </w:tr>
    </w:tbl>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2、强化生物多样性区域保护和监管</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抓好野生动植物保护及蒋福山等自然保护区建设，加强野生动植物管理体系建设，严格森林及野生动植物资源管理，切实保护生物多样性。根据河北省野生动植物保护条例，逐步建立野生动物伤害、破坏补偿机制，合理利用野生动植物资源，使全市85%以上的国家重点保护野生动植物资源得到基本保护。加强野生动植物疫源疫病监测和危害疫情应急防控工作。全市共划定森林公园8处、自然保护区1处、风景名胜区1处。在加快现有自然保护区的升级和规范化建设同时，积极拓展受保护地面积，到2020年，受保护面积占国土面积的比例达到17％以上。</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3、加强森林抚育经营</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改善林龄、林相结构，实现多树种、多层次、多色彩、多功能，兼顾发挥其生态功能；调整和优化林种、树种结构，在杨柳树种的基础上，增加桑、海棠、枣、山楂、核桃、香椿等非劳力密集型的经济树种，达到生态防护效能和森林景观共同改善。突出抓好廊道两侧、城镇周边和农田林网的抚育间伐，积极发展林下经济，提高林地产出效益和资源利用率，建立防护林可持续经营的长效机制，发挥森林综合效益。</w:t>
      </w:r>
    </w:p>
    <w:p>
      <w:pPr>
        <w:ind w:firstLine="640" w:firstLineChars="200"/>
        <w:rPr>
          <w:rFonts w:ascii="仿宋_GB2312" w:hAnsi="仿宋_GB2312" w:eastAsia="仿宋_GB2312" w:cs="仿宋_GB2312"/>
          <w:sz w:val="32"/>
          <w:szCs w:val="32"/>
        </w:rPr>
      </w:pPr>
    </w:p>
    <w:tbl>
      <w:tblPr>
        <w:tblStyle w:val="10"/>
        <w:tblW w:w="82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trPr>
        <w:tc>
          <w:tcPr>
            <w:tcW w:w="8296" w:type="dxa"/>
            <w:shd w:val="clear" w:color="auto" w:fill="auto"/>
          </w:tcPr>
          <w:p>
            <w:pPr>
              <w:spacing w:line="400" w:lineRule="exact"/>
              <w:rPr>
                <w:rFonts w:ascii="仿宋_GB2312" w:hAnsi="仿宋_GB2312" w:eastAsia="仿宋_GB2312" w:cs="仿宋_GB2312"/>
                <w:sz w:val="24"/>
                <w:szCs w:val="24"/>
              </w:rPr>
            </w:pPr>
            <w:r>
              <w:rPr>
                <w:rFonts w:hint="eastAsia" w:ascii="仿宋_GB2312" w:hAnsi="仿宋_GB2312" w:eastAsia="仿宋_GB2312" w:cs="仿宋_GB2312"/>
                <w:sz w:val="24"/>
                <w:szCs w:val="24"/>
              </w:rPr>
              <w:t>专栏5  主要造林树种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51" w:hRule="atLeast"/>
        </w:trPr>
        <w:tc>
          <w:tcPr>
            <w:tcW w:w="8296" w:type="dxa"/>
            <w:shd w:val="clear" w:color="auto" w:fill="auto"/>
          </w:tcPr>
          <w:p>
            <w:pPr>
              <w:spacing w:line="400" w:lineRule="exact"/>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（1）水源涵养林基地建设工程树种：杨、刺槐、椿、侧柏、松、枣、核桃、板栗、柿等。</w:t>
            </w:r>
          </w:p>
          <w:p>
            <w:pPr>
              <w:spacing w:line="400" w:lineRule="exact"/>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（2）三北防护林建设工程树种：杨、柳、刺槐、椿、白蜡、苹果、梨、桃、枣等。</w:t>
            </w:r>
          </w:p>
        </w:tc>
      </w:tr>
    </w:tbl>
    <w:p>
      <w:pPr>
        <w:ind w:firstLine="640" w:firstLineChars="200"/>
        <w:rPr>
          <w:rFonts w:ascii="仿宋_GB2312" w:hAnsi="仿宋_GB2312" w:eastAsia="仿宋_GB2312" w:cs="仿宋_GB2312"/>
          <w:sz w:val="32"/>
          <w:szCs w:val="32"/>
        </w:rPr>
      </w:pP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4、严格森林资源保护</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1）加强森林防火体系建设。认真落实森林防火各级政府行政首长负责制，建立健全森林火灾预防、监测、扑救、预警和指挥系统，建立快速反应机制，确保不发生重大森林火灾，将森林火灾受害率控制在0.3‰以下。 </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2）强化林业病虫害防治体系建设。市、县、乡等各级政府要高度重视森林病虫害防治检疫工作，逐年加大投入力度，确保病虫害能够得到有效除治。建立健全监测预警、检疫御灾、防治减灾和服务保障体系，完善应急控灾机制，实现林业有害生物可持续控制的目的，确保造林绿化成果和生态安全。林业有害生物测报准确率达到85%以上、成灾率控制在4‰以下、产地检疫率和无公害防治率分别达到96%、86%以上。</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（3）加大森林执法力度。牢固树立红线意识，全面贯彻落实林地保护利用规划。加强森林资源保护管理工作，严厉打击非法占用林地、毁林开垦、乱砍滥伐</w:t>
      </w:r>
      <w:bookmarkStart w:id="37" w:name="_GoBack"/>
      <w:bookmarkEnd w:id="37"/>
      <w:r>
        <w:rPr>
          <w:rFonts w:hint="eastAsia" w:ascii="仿宋_GB2312" w:hAnsi="仿宋_GB2312" w:eastAsia="仿宋_GB2312" w:cs="仿宋_GB2312"/>
          <w:sz w:val="32"/>
          <w:szCs w:val="32"/>
        </w:rPr>
        <w:t>、非法收购经营和非法运输木材、乱捕滥猎、杀害、收购、运输、出售珍贵濒危野生动物及野生动物制品等违法犯罪行为。各级林业主管部门要坚持依法行政，加强综合执法和执法监督，加大违法案件的查处力度，制定和落实林业执法责任制、错案和执法过错责任追究制。各级司法部门要与林业部门密切协作，严厉打击林业各种违法犯罪活动。</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5、深化集体林权制度改革</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加快集体林权制度配套改革，推进集体林业综合改革试验示范区建设，加强林权流转平台建设，推进林权抵押贷款和森林保险工作。鼓励林业承包经营权向家庭林场、农民合作社、林业企业流转，进一步放活经营权、落实处置权、保障收益权。鼓励农民兴办林业合作组织，实施规模化种植、集约化管理、专业化经营，支持林业合作组织承担造林绿化、公益林管护、山区综合开发等重点生态工程项目建设。</w:t>
      </w:r>
    </w:p>
    <w:p>
      <w:pPr>
        <w:pStyle w:val="3"/>
      </w:pPr>
      <w:bookmarkStart w:id="22" w:name="_Toc445718899"/>
      <w:r>
        <w:rPr>
          <w:rFonts w:hint="eastAsia"/>
        </w:rPr>
        <w:t>（三）农田与农村环境</w:t>
      </w:r>
      <w:bookmarkEnd w:id="22"/>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2014年，全市耕地面积35.7891万公顷，划定基本农田保护面积</w:t>
      </w:r>
      <w:r>
        <w:rPr>
          <w:rFonts w:ascii="仿宋_GB2312" w:hAnsi="仿宋_GB2312" w:eastAsia="仿宋_GB2312" w:cs="仿宋_GB2312"/>
          <w:sz w:val="32"/>
          <w:szCs w:val="32"/>
        </w:rPr>
        <w:t>32.18</w:t>
      </w:r>
      <w:r>
        <w:rPr>
          <w:rFonts w:hint="eastAsia" w:ascii="仿宋_GB2312" w:hAnsi="仿宋_GB2312" w:eastAsia="仿宋_GB2312" w:cs="仿宋_GB2312"/>
          <w:sz w:val="32"/>
          <w:szCs w:val="32"/>
        </w:rPr>
        <w:t xml:space="preserve"> 万公顷，占耕地面积的92%。</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主要生态问题：一是农田养分失衡，施肥结构不合理，偏重化肥，轻视有机肥；重视氮、磷肥，轻视钾肥，忽视中微量元素施用，土壤钾素状况持续下降，中微量元素缺乏面积逐年增加。二是外源污染加重，全市有2.08万公顷农田处在工矿企业区周边、城市郊区和污灌区等外源污染风险区域，工业“三废”以及城市垃圾和污水对农田造成污染，出现了重金属污染由工矿周边区域向农区转移、由城市郊区向农村转移、由地表向地下转移、由上游向下游转移、由水土污染向食品链接转移的趋势。三是农业面源污染加重，化肥、农药、农膜等化学投入品使用不当，秸秆、畜禽粪便、尾菜以及农村生活污水、生活垃圾等处理不当或不及时，土壤中污染物富集，农田质量下降。四是农田用水低效，农业节水灌溉设施不完备，标准不高，节水意识不强，节约用水管理制度不健全，农业用水占总用水量比重达65%。</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修复重点：调整施肥结构，提高耕地质量；治理农业面源污染，发展生态农业；强力实施节水灌溉，提高用水效率；开展农村环境综合治理，改善生态环境；探索开展耕地轮作休耕制度试点。</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主要修复措施：</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1、建设高标准农田</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坚守耕地红线。到2020年，全市耕地保有量不低于32.17万公顷。在粮食主产区围绕提升耕地土壤肥力、抗灾能力和持续产出能力，实施高标准农田建设工程，增施有机肥，培肥地力，提高耕地质量，完善耕作制度和农田管理模式。</w:t>
      </w:r>
    </w:p>
    <w:p>
      <w:pPr>
        <w:ind w:firstLine="640" w:firstLineChars="200"/>
        <w:rPr>
          <w:rFonts w:ascii="仿宋_GB2312" w:hAnsi="仿宋_GB2312" w:eastAsia="仿宋_GB2312" w:cs="仿宋_GB2312"/>
          <w:sz w:val="32"/>
          <w:szCs w:val="32"/>
        </w:rPr>
      </w:pPr>
    </w:p>
    <w:tbl>
      <w:tblPr>
        <w:tblStyle w:val="10"/>
        <w:tblW w:w="82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trPr>
        <w:tc>
          <w:tcPr>
            <w:tcW w:w="8296" w:type="dxa"/>
            <w:shd w:val="clear" w:color="auto" w:fill="auto"/>
          </w:tcPr>
          <w:p>
            <w:pPr>
              <w:spacing w:line="400" w:lineRule="exact"/>
              <w:rPr>
                <w:rFonts w:ascii="仿宋_GB2312" w:hAnsi="仿宋_GB2312" w:eastAsia="仿宋_GB2312" w:cs="仿宋_GB2312"/>
                <w:sz w:val="24"/>
                <w:szCs w:val="24"/>
              </w:rPr>
            </w:pPr>
            <w:r>
              <w:rPr>
                <w:rFonts w:hint="eastAsia" w:ascii="仿宋_GB2312" w:hAnsi="仿宋_GB2312" w:eastAsia="仿宋_GB2312" w:cs="仿宋_GB2312"/>
                <w:sz w:val="24"/>
                <w:szCs w:val="24"/>
              </w:rPr>
              <w:t>专栏6  高标准农田工程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9" w:hRule="atLeast"/>
        </w:trPr>
        <w:tc>
          <w:tcPr>
            <w:tcW w:w="8296" w:type="dxa"/>
            <w:shd w:val="clear" w:color="auto" w:fill="auto"/>
          </w:tcPr>
          <w:p>
            <w:pPr>
              <w:spacing w:line="400" w:lineRule="exact"/>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农田水利基础设施建设工程。着力完善农田基础设施，加强中低产田改造，搞好田间灌溉排渠系、土地平整和机耕道、田间道路林网建设，改善农业生产条件，使规划区域内的基本农田成为“田成方、树成行、路贯通、井渠管道连成网，旱能浇、涝能排”的高产稳产田。</w:t>
            </w:r>
          </w:p>
          <w:p>
            <w:pPr>
              <w:spacing w:line="400" w:lineRule="exact"/>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2）良种工程。选择抗旱喜肥型品种，以节水、高产、高效为核心，加强农作物品种选优工作，按照所在区域的实际条件，引进技术依托单位和技术支撑单位选育的专用小麦、玉米的耐旱、高产、抗逆性强的优良品种，并逐步推广使用，确保优质良种推广应用率达到100%。</w:t>
            </w:r>
          </w:p>
          <w:p>
            <w:pPr>
              <w:spacing w:line="400" w:lineRule="exact"/>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科技培训工程。通过开展技术培训，设立技术咨询服务热线，成立农业节水综合服务大队，开展下乡巡回指导和技术讲座，提高农民素质，调动农民的科学种粮的积极性、主动性，提高先进技术的入户率和到位率，促进农业科技进步。</w:t>
            </w:r>
          </w:p>
        </w:tc>
      </w:tr>
    </w:tbl>
    <w:p>
      <w:pPr>
        <w:ind w:firstLine="640" w:firstLineChars="200"/>
        <w:rPr>
          <w:rFonts w:ascii="仿宋_GB2312" w:hAnsi="仿宋_GB2312" w:eastAsia="仿宋_GB2312" w:cs="仿宋_GB2312"/>
          <w:sz w:val="32"/>
          <w:szCs w:val="32"/>
        </w:rPr>
      </w:pP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2、推广农业清洁生产</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开展清洁生产模式推广应用，大力整治农村面源污染。加强畜禽粪源污染处理，推广标准化养殖。到2017年建设４个清洁生产示范区，示范区内测土配方施肥覆盖率达到100%以上，保护地蔬菜化学农药使用量降低20%以上，</w:t>
      </w:r>
      <w:r>
        <w:rPr>
          <w:rFonts w:ascii="仿宋_GB2312" w:hAnsi="仿宋_GB2312" w:eastAsia="仿宋_GB2312" w:cs="仿宋_GB2312"/>
          <w:sz w:val="32"/>
          <w:szCs w:val="32"/>
        </w:rPr>
        <w:t>50</w:t>
      </w:r>
      <w:r>
        <w:rPr>
          <w:rFonts w:hint="eastAsia" w:ascii="仿宋_GB2312" w:hAnsi="仿宋_GB2312" w:eastAsia="仿宋_GB2312" w:cs="仿宋_GB2312"/>
          <w:sz w:val="32"/>
          <w:szCs w:val="32"/>
        </w:rPr>
        <w:t>%以上的尾菜实现资源化利用，示范推广可降解可回收地膜，废弃地膜回收率达到70%以上。到2020年，建成企业回收、农户参与、政府监管、市场推进的农田废弃地膜回收再利用体系，有效控制农田废弃地膜污染，保障农产品质量安全。加强尾菜资源化利用，推广秸秆肥料化、饲料化、基料化、燃料化、原料化，提高秸秆综合利用率。制定实施农业面源污染综合防治方案，推广低毒、低残留农药使用补助试点经验，开展农作物病虫害绿色防控和统防统治。</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实行测土配方施肥，建立配方肥工厂，推广精准施肥技术和机具。到2020年，全市测土配方施肥技术推广覆盖率达到90%以上，化肥利用率提高到40%以上，农作物病虫害统防统治覆盖率达到40%以上。</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3、强力实施节水灌溉</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推广抗旱作物和节水品种，推广集成农艺节水技术、水肥一体化技术。大力实施农田节水工程建设，因地制宜铺设防渗输水管道，推广微喷灌、膜下滴灌、膜下沟灌，发展节水型设施农业，尽快提高农田用水效率。到2017年，新增农业节水能力0.75亿立方米；到2020年新增农业节水能力0.9亿立方米。</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4、开展农田专项整治</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针对不合理耕作、土壤养分失衡、土壤污染、秸秆处理等问题，组织开展5项专项治理行动，解决农业生产过程中存在的突出问题，加快改善农田生态环境。在地下水超采区开展季节性休耕，压减冬小麦种植面积，改冬小麦夏玉米一年两熟制为只种玉米、杂粮、牧草等一年一熟制，实现一季休耕，一季雨养。</w:t>
      </w:r>
    </w:p>
    <w:tbl>
      <w:tblPr>
        <w:tblStyle w:val="10"/>
        <w:tblW w:w="82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trPr>
        <w:tc>
          <w:tcPr>
            <w:tcW w:w="8296" w:type="dxa"/>
            <w:shd w:val="clear" w:color="auto" w:fill="auto"/>
          </w:tcPr>
          <w:p>
            <w:pPr>
              <w:spacing w:line="400" w:lineRule="exact"/>
              <w:rPr>
                <w:rFonts w:ascii="仿宋_GB2312" w:hAnsi="仿宋_GB2312" w:eastAsia="仿宋_GB2312" w:cs="仿宋_GB2312"/>
                <w:sz w:val="24"/>
                <w:szCs w:val="24"/>
              </w:rPr>
            </w:pPr>
            <w:r>
              <w:rPr>
                <w:rFonts w:hint="eastAsia" w:ascii="仿宋_GB2312" w:hAnsi="仿宋_GB2312" w:eastAsia="仿宋_GB2312" w:cs="仿宋_GB2312"/>
                <w:sz w:val="24"/>
                <w:szCs w:val="24"/>
              </w:rPr>
              <w:t>专栏7 农田专项整治行动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33" w:hRule="atLeast"/>
        </w:trPr>
        <w:tc>
          <w:tcPr>
            <w:tcW w:w="8296" w:type="dxa"/>
            <w:shd w:val="clear" w:color="auto" w:fill="auto"/>
          </w:tcPr>
          <w:p>
            <w:pPr>
              <w:spacing w:line="400" w:lineRule="exact"/>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（1）保护性耕作工程。推广免（少）耕播种、深松及病虫草害综合控制技术，实施保护性耕作，改善土壤结构，增强农田抗御侵蚀和保土蓄水能力。</w:t>
            </w:r>
          </w:p>
          <w:p>
            <w:pPr>
              <w:spacing w:line="400" w:lineRule="exact"/>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2）沃土工程。加强中低产田改造，增施有机肥、培肥地力，提高肥料效益，改良土壤，实现“藏粮于地”。到2017年全市实施沃土工程4万公顷，到2020年实施8万公顷以上，实现项目区耕地有机质含量提高0.6个百分点以上，地力提高1个等级，亩均综合生产能力提高50公斤。</w:t>
            </w:r>
          </w:p>
          <w:p>
            <w:pPr>
              <w:spacing w:line="400" w:lineRule="exact"/>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净土工程。制定土壤污染防治行动计划，以污灌区受污染农用地和废弃物堆存场地等为重点，开展土壤污染详查工作，建立详查数据库和样品库，开展有针对性的修复试点，对受污染土壤使用土壤钝化剂、调节剂、降解剂等钝化或分解土壤污染物质，采用生物措施和深翻客土等工程措施，降低土壤污染物浓度，修复农业污染土壤。</w:t>
            </w:r>
          </w:p>
          <w:p>
            <w:pPr>
              <w:spacing w:line="400" w:lineRule="exact"/>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（4）秸秆综合利用工程。推广秸秆肥料化、饲料化、基料化、燃料化、原料化，提高秸秆综合利用率。到2017年，农作物秸秆基本实现全利用。</w:t>
            </w:r>
          </w:p>
          <w:p>
            <w:pPr>
              <w:spacing w:line="400" w:lineRule="exact"/>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（5）粮转饲示范工程。推动粮经饲统筹、农林牧渔结合、种养加一体、一二三产业融合发展，走产出高效、产品安全、资源节约、环境友好的农业现代化道路，带动现代畜牧业产业链发展。</w:t>
            </w:r>
          </w:p>
        </w:tc>
      </w:tr>
    </w:tbl>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5、大力建设美丽乡村</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科学编制美丽乡村规划，深入推进重点流域和敏感区域重点村镇环境综合治理，强力实施农村环境整治、民居改造、设施配套、服务提升、生态建设等五大工程，严禁污染企业向农村转移，加强村庄及周边各类企业排污管理，加快推进美丽乡村建设。加快农村污水处理、街道硬化、村庄绿化、排水等基础设施建设，推行“户收集、村集中、乡镇运送、县处理”的城乡一体化垃圾处理模式，逐步改善农村居住和生态环境质量。到2020年，美丽乡村村庄绿化率达到40%，基本建立城乡一体化垃圾处理体系，生活垃圾无害化处理率县城达到100%，农村地区达到60%；重点区域（固安、北三县等）生活垃圾和污水处理率达到</w:t>
      </w:r>
      <w:r>
        <w:rPr>
          <w:rFonts w:ascii="仿宋_GB2312" w:hAnsi="仿宋_GB2312" w:eastAsia="仿宋_GB2312" w:cs="仿宋_GB2312"/>
          <w:sz w:val="32"/>
          <w:szCs w:val="32"/>
        </w:rPr>
        <w:t>60</w:t>
      </w:r>
      <w:r>
        <w:rPr>
          <w:rFonts w:hint="eastAsia" w:ascii="仿宋_GB2312" w:hAnsi="仿宋_GB2312" w:eastAsia="仿宋_GB2312" w:cs="仿宋_GB2312"/>
          <w:sz w:val="32"/>
          <w:szCs w:val="32"/>
        </w:rPr>
        <w:t>%。</w:t>
      </w:r>
    </w:p>
    <w:tbl>
      <w:tblPr>
        <w:tblStyle w:val="10"/>
        <w:tblW w:w="82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trPr>
        <w:tc>
          <w:tcPr>
            <w:tcW w:w="8296" w:type="dxa"/>
            <w:shd w:val="clear" w:color="auto" w:fill="auto"/>
          </w:tcPr>
          <w:p>
            <w:pPr>
              <w:spacing w:line="400" w:lineRule="exact"/>
              <w:rPr>
                <w:rFonts w:ascii="仿宋_GB2312" w:hAnsi="仿宋_GB2312" w:eastAsia="仿宋_GB2312" w:cs="仿宋_GB2312"/>
                <w:sz w:val="24"/>
                <w:szCs w:val="24"/>
              </w:rPr>
            </w:pPr>
            <w:r>
              <w:rPr>
                <w:rFonts w:hint="eastAsia" w:ascii="仿宋_GB2312" w:hAnsi="仿宋_GB2312" w:eastAsia="仿宋_GB2312" w:cs="仿宋_GB2312"/>
                <w:sz w:val="24"/>
                <w:szCs w:val="24"/>
              </w:rPr>
              <w:t>专栏8 美丽乡村生态环境建设专项行动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8296" w:type="dxa"/>
            <w:shd w:val="clear" w:color="auto" w:fill="auto"/>
          </w:tcPr>
          <w:p>
            <w:pPr>
              <w:spacing w:line="400" w:lineRule="exact"/>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民居改造专项行动。依据县域片区和村庄规划，突出地域特色，坚持改造为主，建新为辅，推广新技术、新材料应用，有计划、有步骤的加大民居改造工作力度。引导农村住宅向布局合理、功能完善、特色鲜明、节能环保方向发展，到2018年完成现有农村危房改造工程。</w:t>
            </w:r>
          </w:p>
          <w:p>
            <w:pPr>
              <w:spacing w:line="400" w:lineRule="exact"/>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2）安全饮水专项行动。开展农村饮水安全巩固提升工程建设，逐步完善运行管护体系，在条件具备的地方建设集中供水工程，实现城乡一体化供水；在分散供水的地方建设增压设施。通过引水工程置换地下水源，改善供水水质，完善饮用水管理机制。到2020年全市所有村庄实现安全达标饮水。</w:t>
            </w:r>
          </w:p>
          <w:p>
            <w:pPr>
              <w:spacing w:line="400" w:lineRule="exact"/>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污水治理专项行动。因地制宜推广适宜模式收集和处理农村生活污水，人口密集，污水量大的村庄实施集中处理；城镇近郊的村庄生活污水就近纳入管网，统一处理；分散的村庄推广庭院式小型湿地、污水净化池等处理技术。到2020年农村生活污水基本得到有效处理。</w:t>
            </w:r>
          </w:p>
          <w:p>
            <w:pPr>
              <w:spacing w:line="400" w:lineRule="exact"/>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（4）街道硬化专项行动。加快推进连村道路和村内街道硬化，逐步提高建设标准，完善照明、排水等配套设施，体现乡村特色。到2020年全市所有行政村完成街道硬化、亮化和电力通讯设施建设任务。</w:t>
            </w:r>
          </w:p>
          <w:p>
            <w:pPr>
              <w:spacing w:line="400" w:lineRule="exact"/>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（5） 无害化卫生厕所改造专项行动。推广使用三格化粪池式厕所和双瓮式厕所等新型无害化卫生厕所，倡导建设完整上下水道系统和污水处理设施，引导农户修建户内卫生间，完善社会化收集处理体系。到2020年，全市无害化卫生厕所普及率提高到83%。</w:t>
            </w:r>
          </w:p>
          <w:p>
            <w:pPr>
              <w:spacing w:line="400" w:lineRule="exact"/>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清洁能源利用专项行动。加快调整农村能源结构，引导农户使用电能、太阳能、天然气、液化气、大型沼气等清洁能源进行炊事和取暖，推进秸秆能源化利用工作，鼓励燃煤洁净化利用和集中供暖，提高农村高效清洁燃烧炉具使用比例。到2020年，清洁能源覆盖率达到80%以上。</w:t>
            </w:r>
          </w:p>
          <w:p>
            <w:pPr>
              <w:spacing w:line="400" w:lineRule="exact"/>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7）“三清一拆”和垃圾治理专项行动。以县为主，集中清杂物、清残垣断壁和路障、清庭院、拆除违章建筑，积极开展农村垃圾减量，健全城乡一体化垃圾处理机制，完善配套处理设施。2017年90%以上村庄垃圾得到有效治理，2020年全市村庄垃圾全面得到有效治理。</w:t>
            </w:r>
          </w:p>
          <w:p>
            <w:pPr>
              <w:spacing w:line="400" w:lineRule="exact"/>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（8） 村庄绿化专项行动。充分利用荒地荒滩大力营造各种类型村庄林带。采用多种乔灌草结合模式，提高街道和庭院绿化美化水平。建设村民休闲、游憩的游园绿地，搞好路渠堤塘绿化。到2020年，村庄绿化覆盖率提高到35%，实现村庄绿化达标全覆盖。</w:t>
            </w:r>
          </w:p>
        </w:tc>
      </w:tr>
    </w:tbl>
    <w:p>
      <w:pPr>
        <w:pStyle w:val="3"/>
      </w:pPr>
      <w:bookmarkStart w:id="23" w:name="_Toc445718900"/>
      <w:r>
        <w:rPr>
          <w:rFonts w:hint="eastAsia"/>
        </w:rPr>
        <w:t>（四）湿地恢复与保护</w:t>
      </w:r>
      <w:bookmarkEnd w:id="23"/>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全市湿地面积14685公顷，主要分布在香河、安次、广阳、霸州、文安等县（市、区），发挥着涵养水源、蓄洪防旱、降解污染、调节气候等重要生态功能。</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主要生态问题：水面面积少，湿地严重萎缩，降解污染、调节气候、维护生物多样性等生态功能显著弱化，湿地生态系统遭到破坏，亟待恢复。</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修复重点：推进东淀、文安洼等湿地恢复，加大香河、赵王新河、安次区东张务等重点湿地环境修复力度，加强湿地生态系统的保护，推进退耕还湿工作，建设植被缓冲带和隔离带，加大水生野生动植物类自然保护区建设力度，维系提高生物多样性。</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主要修复措施：</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1、实施湿地生态修复和建设</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对湿地进行综合治理，加快湿地生态修复和建设。以生物措施为主，对浅水区的水生植物生长带、水陆交错的滨水带和侵蚀区的陆生生态带进行生态修复，增加湿地物种的种类和数量，提高生物多样性；以工程措施为主，对类型改变、功能丧失的湿地进行重建。着力恢复潮白河大运河国家湿地公园、安次东张务湿地、京南森林湿地生态走廊等重点区域湿地生态功能，分类推进洼淀退耕还湿，加快实施湿地生态效益补偿项目，逐步恢复和扩大湿地空间。充分利用恢复后的文安洼、东淀等湿地生态资源，大力开展藕、苇、柳等湿地优势植物种植，促进湿地产业开发。</w:t>
      </w:r>
    </w:p>
    <w:p>
      <w:pPr>
        <w:ind w:firstLine="640" w:firstLineChars="200"/>
        <w:rPr>
          <w:rFonts w:ascii="仿宋_GB2312" w:hAnsi="仿宋_GB2312" w:eastAsia="仿宋_GB2312" w:cs="仿宋_GB2312"/>
          <w:sz w:val="32"/>
          <w:szCs w:val="32"/>
        </w:rPr>
      </w:pPr>
    </w:p>
    <w:tbl>
      <w:tblPr>
        <w:tblStyle w:val="10"/>
        <w:tblW w:w="82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8296" w:type="dxa"/>
            <w:shd w:val="clear" w:color="auto" w:fill="auto"/>
          </w:tcPr>
          <w:p>
            <w:pPr>
              <w:spacing w:line="400" w:lineRule="exact"/>
              <w:rPr>
                <w:rFonts w:ascii="仿宋_GB2312" w:hAnsi="仿宋_GB2312" w:eastAsia="仿宋_GB2312" w:cs="仿宋_GB2312"/>
                <w:sz w:val="24"/>
                <w:szCs w:val="24"/>
              </w:rPr>
            </w:pPr>
            <w:r>
              <w:rPr>
                <w:rFonts w:hint="eastAsia" w:ascii="仿宋_GB2312" w:hAnsi="仿宋_GB2312" w:eastAsia="仿宋_GB2312" w:cs="仿宋_GB2312"/>
                <w:sz w:val="24"/>
                <w:szCs w:val="24"/>
              </w:rPr>
              <w:t xml:space="preserve">专栏9  湿地修复和建设工程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3" w:hRule="atLeast"/>
        </w:trPr>
        <w:tc>
          <w:tcPr>
            <w:tcW w:w="8296" w:type="dxa"/>
            <w:shd w:val="clear" w:color="auto" w:fill="auto"/>
          </w:tcPr>
          <w:p>
            <w:pPr>
              <w:spacing w:line="400" w:lineRule="exact"/>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（1）潮白河大运河国家湿地公园建设工程</w:t>
            </w:r>
          </w:p>
          <w:p>
            <w:pPr>
              <w:spacing w:line="400" w:lineRule="exact"/>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以北运河、潮白河、青龙湾河和万亩荷塘为主体，由牛牧屯引河和商汪甸排干连接，建设国家湿地公园，总面积达到3680公顷，其中湿地面积1470公顷，包含河流湿地和人工湿地两个类型。通过保护湿地公园的生物多样性，全面改善公园水质,使其由Ⅳ类水逐步净化为Ⅲ类水，加强对湿地保护、科普宣教、旅游观光、体验休闲等功能的统筹安排，联合通州大运河湿地公园、天津北运河沿河湿地开发工程，共同打造北运河环首都国家湿地公园带。到2030年，建设成廊坊生态名片和生态建设标志性工程。</w:t>
            </w:r>
          </w:p>
          <w:p>
            <w:pPr>
              <w:spacing w:line="400" w:lineRule="exact"/>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（2）安次区东张务湿地建设工程</w:t>
            </w:r>
          </w:p>
          <w:p>
            <w:pPr>
              <w:spacing w:line="400" w:lineRule="exact"/>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位于廊坊市安次区东张务村，地处龙河下游，湿地面积约为153公顷。保持并适度扩展湿地面积，积极培育芦苇、菖蒲、荷莲等水生植物，发挥其重要的生态系统服务功能。完善旅游、休闲配套设施，到2020年建成省级湿地公园。</w:t>
            </w:r>
          </w:p>
          <w:p>
            <w:pPr>
              <w:spacing w:line="400" w:lineRule="exact"/>
              <w:ind w:firstLine="480" w:firstLineChars="200"/>
              <w:rPr>
                <w:rFonts w:hint="eastAsia" w:ascii="微软雅黑" w:hAnsi="微软雅黑" w:eastAsia="微软雅黑"/>
                <w:color w:val="575757"/>
                <w:sz w:val="22"/>
                <w:szCs w:val="22"/>
              </w:rPr>
            </w:pPr>
            <w:r>
              <w:rPr>
                <w:rFonts w:hint="eastAsia" w:ascii="仿宋_GB2312" w:hAnsi="仿宋_GB2312" w:eastAsia="仿宋_GB2312" w:cs="仿宋_GB2312"/>
                <w:sz w:val="24"/>
                <w:szCs w:val="24"/>
              </w:rPr>
              <w:t>（3）京南森林湿地生态走廊建设工程</w:t>
            </w:r>
          </w:p>
          <w:p>
            <w:pPr>
              <w:spacing w:line="400" w:lineRule="exact"/>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在廊坊中南部的霸州、文安、大城三县（市），依据构建京津冀协同发展生态、文化和产业枢纽的定位，建设以文安洼、东淀为核心的大型森林湿地生态走廊。新增造林3.5万公顷，现有林提质增效改造1.6万公顷，使林木绿化率增加近13个百分点，达到33％，增强森林水源涵养、水土保持、农田防护、净化空气、改良水质、保护生物多样性等生态功能；利用现有河渠，通过蓄水闸、泵站和橡胶坝等工程，有效拦蓄上游来水，恢复湿地2.4万公顷，打造集生态、休闲旅游等功能为一体的水生态景观带，形成一个南北宽30公里、东西长45公里，面积为14万公顷的生态走廊，构建京津冀生态屏障。</w:t>
            </w:r>
          </w:p>
        </w:tc>
      </w:tr>
    </w:tbl>
    <w:p>
      <w:pPr>
        <w:ind w:firstLine="640" w:firstLineChars="200"/>
        <w:rPr>
          <w:rFonts w:ascii="仿宋_GB2312" w:hAnsi="仿宋_GB2312" w:eastAsia="仿宋_GB2312" w:cs="仿宋_GB2312"/>
          <w:sz w:val="32"/>
          <w:szCs w:val="32"/>
        </w:rPr>
      </w:pP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2. 开展水体污染治理</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在香河、广阳等中水和污水集中排放地带，大力推进生态净化湿地建设，实施富营养化水体生物治理示范工程，减少氮、磷的排放量，控制淀泊、河流污染底泥，减少地表水体污染源。</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3、健全湿地生态补偿制度</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依据有关法律法规与政策文件精神，在深入推进湿地生态补偿试点工作的基础上，制定与完善全市湿地生态效益补偿的实施办法，统筹本地水和外调水，保障重要湿地生态水，确立完善的生态补水机制，推动建立城市湿地公园生态保护补偿机制，理顺工作机制，优化湿地空间格局，促进全市湿地保护与恢复。</w:t>
      </w:r>
    </w:p>
    <w:p>
      <w:pPr>
        <w:pStyle w:val="3"/>
      </w:pPr>
      <w:bookmarkStart w:id="24" w:name="_Toc445718901"/>
      <w:r>
        <w:rPr>
          <w:rFonts w:hint="eastAsia"/>
        </w:rPr>
        <w:t>（五）山区治理与修复</w:t>
      </w:r>
      <w:bookmarkEnd w:id="24"/>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山区位于三河市市域东北部，包括黄土庄、段甲岭两个乡镇，面积为76平方公里，属燕山低山丘陵区。本区已设立县级蒋福山自然保护区，承担着水土保持、水源涵养、维护生物多样性等多种生态功能。多年来，以建筑砂石料为主的建材业逐渐成为当地的特色主导产业。</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修复重点：针对矿山开采造成的地形地貌景观、植被破坏和扬尘等矿山环境问题，通过依法取缔非法采矿、采石企业，实施矿山复绿工程，加快矿山生态环境整治，治理水土流失，绿化荒山荒地，提高造林质量，维护生物多样性。</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主要修复措施：</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1、推进矿山环境治理</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制定具体实施方案，全面部署采矿企业关停工作，对区内企业采取停电、停采、停产、停售、停运，对自然保护区和风景名胜区及周边2公里范围内影响生态景观的矿区环境进行综合整治，开展矿山复绿行动，到2017年完成所有矿区复绿任务。采用困难立地植被恢复综合集成技术，全面实施荒山、荒地绿化，提高山区林草覆盖率，结合工程措施，防治地质灾害的发生，实施尾矿库综合治理。开展山区生态安全评估，划定生态红线，积极发展集生态治理、新农村建设、生态旅游、休闲农业等为一体的沟域经济，实现山区生态、经济和社会效益协调发展。</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2、实施山体修复工程</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对东部矿区原有闭坑矿区进行恢复治理，将黄土庄—段甲岭面积约11平方公里的闭坑矿区列入重点治理范围，实施矿山地质环境治理示范工程，通过挖高填低、清除矿渣、削除残山、采坑回填等措施进行地形整治，整理平地0.83平方公里。通过工程实施，消除崩塌地质灾害隐患，保护当地群众的生命财产安全，新增建设用地，充分挖掘废弃工矿用地潜力。</w:t>
      </w:r>
    </w:p>
    <w:p>
      <w:pPr>
        <w:pStyle w:val="2"/>
      </w:pPr>
      <w:bookmarkStart w:id="25" w:name="_Toc445718902"/>
      <w:r>
        <w:rPr>
          <w:rFonts w:hint="eastAsia"/>
        </w:rPr>
        <w:t>六、创新体制机制</w:t>
      </w:r>
      <w:bookmarkEnd w:id="25"/>
    </w:p>
    <w:p>
      <w:pPr>
        <w:pStyle w:val="3"/>
      </w:pPr>
      <w:bookmarkStart w:id="26" w:name="_Toc445718903"/>
      <w:r>
        <w:rPr>
          <w:rFonts w:hint="eastAsia"/>
        </w:rPr>
        <w:t>（一）健全生态环境法规体系</w:t>
      </w:r>
      <w:bookmarkEnd w:id="26"/>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根据国家和省有关法律法规，针对廊坊实际，研究制定水资源、湿地恢复与保护、农业面源污染防治、河流水体污染治理、生态补偿等地方法规，健全完善具有廊坊特色的生态环境保护和修复法规体系。健全执法队伍，整合执法力量，加强跨县区执法和部门联合执法，依法惩处破坏生态环境的违法行为，健全重大环境事件和污染事故损害赔偿制度。</w:t>
      </w:r>
    </w:p>
    <w:p>
      <w:pPr>
        <w:pStyle w:val="3"/>
      </w:pPr>
      <w:bookmarkStart w:id="27" w:name="_Toc445718904"/>
      <w:r>
        <w:rPr>
          <w:rFonts w:hint="eastAsia"/>
        </w:rPr>
        <w:t>（二）健全自然资源产权和用途管制制度</w:t>
      </w:r>
      <w:bookmarkEnd w:id="27"/>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对水系、湿地、森林、山岭等自然生态空间进行统一确权登记，明确产权主体，形成归属清晰、权责明确、监管有效的自然资源资产产权制度。健全管理体制，统一行使全民所有自然资源资产所有者职责。</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试点推行国民经济和社会发展规划、城市总体规划、土地利用规划等“三规合一”，建立统一的空间规划体系，划定生产空间、生活空间、生态空间，优先划定永久基本农田保护红线和生态保护红线，合理确定城市开发边界，落实用途管制制度，统一行使所有国土空间用途管制职责。坚定不移的实施主体功能区制度，建立国土空间开发保护制度，严格按照主体功能区定位推动发展。</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推动所有权和使用权分离，明确占有、使用、收益、处分等权利归属关系和权责，适度扩大使用权的出让、转让、出租、抵押、担保、入股等权能，严禁无偿或低价出让，加强自然资源资产交易平台建设。</w:t>
      </w:r>
    </w:p>
    <w:p>
      <w:pPr>
        <w:pStyle w:val="3"/>
      </w:pPr>
      <w:bookmarkStart w:id="28" w:name="_Toc445718905"/>
      <w:r>
        <w:rPr>
          <w:rFonts w:hint="eastAsia"/>
        </w:rPr>
        <w:t>（三）完善生态效益补偿制度体系</w:t>
      </w:r>
      <w:bookmarkEnd w:id="28"/>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探索建立多元化生态补偿机制，着眼于激励生态环境保护行为，制定和落实科学的生态补偿制度和专项财政转移支付制度，使保护者得到补偿与激励。完善生态保护成效与资金分配挂钩的激励约束机制，科学界定生态保护者与受益者权利义务，加快形成生态损害者赔偿、受益者付费、保护者得到合理补偿的运行机制。结合深化财税体制改革，完善转移支付制度，归并和规范现有生态保护补偿渠道，加大对重点生态功能区的转移支付力度，逐步提高其基本服务水平。在香河、文安洼、东淀等地，试点探索、推进退耕还湿生态补偿，创新完善补偿机制政策。坚持谁受益、谁补偿原则，完善对重点生态功能区的生态补偿机制，探索与京津及保定、沧州等周边地区合作建立横向生态补偿机制，引导生态受益地区与保护地区之间、流域上游与下游之间，通过资金补助、产业转移、人才培训、共建园区等方式实施补偿。</w:t>
      </w:r>
    </w:p>
    <w:p>
      <w:pPr>
        <w:pStyle w:val="3"/>
      </w:pPr>
      <w:bookmarkStart w:id="29" w:name="_Toc445718906"/>
      <w:r>
        <w:rPr>
          <w:rFonts w:hint="eastAsia"/>
        </w:rPr>
        <w:t>（四）建立生态环境保护联动机制</w:t>
      </w:r>
      <w:bookmarkEnd w:id="29"/>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创新构建生态环境保护联动机制，突出抓好部门联动、区域联动、跨市联动、跨省联动，探索实现统一规划、统一标准、统一环评、统一执法。构建流域内生态修复与环境保护相关部门参加的协作机制和风险预警防控体系。建立跨省、跨市交界地区统筹的污染协同防治机制，在全市开展按流域设置环境监管和行政执法机构试点。</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积极与北京平谷、天津蓟县等京津区（县）对接协调，发挥廊坊资源和空间优势，大力推进京津冀协同共建地区（北京平谷、天津蓟县、河北廊坊北三县）国家生态文明先行示范区建设；推进霸州市、文安县、大城县与保定市、沧州市白洋淀区域各县共同实施湿地恢复和森林生态网络系统建设，共同打造森林湿地生态功能区。</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建立跨市域接壤地区间生态环境保护与建设联席会议和对口部门衔接机制，加强工作会商，及时就生态保护修复情况进行交流、沟通和协商，构建生态保护信息共享平台，做到信息互换互通。加大区域联合执法力度，对违法行为进行联合查处，促进环境保护行政执法与刑事司法有效衔接，制订完善环境联动执法工作制度，建立健全长效工作机制。</w:t>
      </w:r>
    </w:p>
    <w:p>
      <w:pPr>
        <w:pStyle w:val="3"/>
      </w:pPr>
      <w:bookmarkStart w:id="30" w:name="_Toc445718907"/>
      <w:r>
        <w:rPr>
          <w:rFonts w:hint="eastAsia"/>
        </w:rPr>
        <w:t>（五）创新生态环境修复市场机制</w:t>
      </w:r>
      <w:bookmarkEnd w:id="30"/>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研究出台支持政策，培育壮大各类市场主体，鼓励社会资本进入环保市场，推进政府和社会资本深化合作，开展环境治理和生态保护。加快推进京津冀碳汇林项目建设，加强对碳汇林交易市场的监督与管理，完善碳汇林交易平台的建设，规范碳汇市场的交易行为。</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积极建立交易平台，推行用能权、碳排放权、排污权、水权交易制度。建立绿色金融体系，推广绿色信贷。支持设立各类绿色发展基金，实行市场化运作。以污水、垃圾处理和工业园区为重点，加快推广环境污染第三方治理，积极引入社会资本，推广政府和社会资本合作模式、股权、项目收益权、特许经营权、排污权等质押融资担保方式，建立市场机制下的环境污染治理新模式，推行治污集约化、产权多元化、运营市场化的环境治理创新模式。鼓励各县（市、区）在有效控制财政风险的前提下，积极创新投融资方式，通过股权投资、贴息、基金等，拓宽融资渠道，激发市场投资活力。</w:t>
      </w:r>
    </w:p>
    <w:p>
      <w:pPr>
        <w:pStyle w:val="3"/>
      </w:pPr>
      <w:bookmarkStart w:id="31" w:name="_Toc445718908"/>
      <w:r>
        <w:rPr>
          <w:rFonts w:hint="eastAsia"/>
        </w:rPr>
        <w:t>（六）完善生态环境监测与应急体系</w:t>
      </w:r>
      <w:bookmarkEnd w:id="31"/>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坚持问题导向，针对薄弱环节，加强生态环境监测与预警系统建设，以构建先进的环境监测预警体系、高效的环境信息化支撑体系为重点。对湿地公园、自然保护区等重点生态功能区及其他区域重要生态用地的生态环境状况开展定期监测与评估，形成重要生态区域的监测、评估、预警和管控综合能力。加快推进对水、森林、湿地、沙化土地、土壤环境、地质环境等的监测核算能力建设，提升信息化水平，提高准确性、及时性，实现信息共享。健全覆盖所有资源环境要素的监测网络体系，加强环境监测队伍建设，不断提高监测人员综合素质和能力水平。完善各项应急预案，健全突发环境事件应急机制，提高与环境风险程度、污染物种类等相匹配的突发环境事件应急处置能力，健全环境调查、监测和风险评估制度。</w:t>
      </w:r>
    </w:p>
    <w:p>
      <w:pPr>
        <w:pStyle w:val="2"/>
      </w:pPr>
      <w:bookmarkStart w:id="32" w:name="_Toc445718909"/>
      <w:r>
        <w:rPr>
          <w:rFonts w:hint="eastAsia"/>
        </w:rPr>
        <w:t>七、保障措施</w:t>
      </w:r>
      <w:bookmarkEnd w:id="32"/>
    </w:p>
    <w:p>
      <w:pPr>
        <w:pStyle w:val="3"/>
      </w:pPr>
      <w:bookmarkStart w:id="33" w:name="_Toc445718910"/>
      <w:r>
        <w:rPr>
          <w:rFonts w:hint="eastAsia"/>
        </w:rPr>
        <w:t>（一）加强组织领导，落实工作责任</w:t>
      </w:r>
      <w:bookmarkEnd w:id="33"/>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成立廊坊市山水林田湖生态修复领导小组，由市政府主要领导任组长，发展改革、市委农工部、环保、林业、水利、农业、国土、财政、科技等部门为成员，负责全市生态修复工作重大问题、重点工程的统筹、协调和决策，制定实施方案，落实责任主体，细化支持政策。各部门要积极沟通、全力协作、搞好衔接，确保各项工作举措落实到位。</w:t>
      </w:r>
    </w:p>
    <w:p>
      <w:pPr>
        <w:pStyle w:val="3"/>
      </w:pPr>
      <w:bookmarkStart w:id="34" w:name="_Toc445718911"/>
      <w:r>
        <w:rPr>
          <w:rFonts w:hint="eastAsia"/>
        </w:rPr>
        <w:t>（二）强化政策支持，多元筹措资金</w:t>
      </w:r>
      <w:bookmarkEnd w:id="34"/>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以生态文明理念为引领，坚持转方式、调结构、促升级，推动绿色发展、循环发展、低碳发展，切实加强对接与协同，着力扩大生态空间。积极争取上级资金支持全市生态修复重点项目，优化财政支出结构，整合不同渠道资金向重点工程倾斜。积极探索市场化、多元化投入模式，吸引社会资本参与生态建设与环境治理。</w:t>
      </w:r>
    </w:p>
    <w:p>
      <w:pPr>
        <w:pStyle w:val="3"/>
      </w:pPr>
      <w:bookmarkStart w:id="35" w:name="_Toc445718912"/>
      <w:r>
        <w:rPr>
          <w:rFonts w:hint="eastAsia"/>
        </w:rPr>
        <w:t>（三）扩大舆论宣传，促进公众参与</w:t>
      </w:r>
      <w:bookmarkEnd w:id="35"/>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引导全社会树立生态文明意识，充分利用电视、广播、报刊、网络、微博、微信等媒介广泛开展多层次、多形式的舆论宣传和科普宣传。积极培育生态文化、生态道德，倡导绿色生活和消费方式。开展生态修复先进乡镇创建活动，大力表彰先进事迹和先进人物。大力促进公众参与，培育壮大生态环保志愿者队伍，营造良好的社会氛围。</w:t>
      </w:r>
    </w:p>
    <w:p>
      <w:pPr>
        <w:pStyle w:val="3"/>
      </w:pPr>
      <w:bookmarkStart w:id="36" w:name="_Toc445718913"/>
      <w:r>
        <w:rPr>
          <w:rFonts w:hint="eastAsia"/>
        </w:rPr>
        <w:t>（四）加强督导考核，完善问责制度</w:t>
      </w:r>
      <w:bookmarkEnd w:id="36"/>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建立生态修复绩效评价指标体系，积极引入第三方评价机制，对规划实施情况进行督导考核，将绩效评价纳入领导干部业绩考核、选拔任用、离任审计，加快推行党政领导干部生态环境损害责任追究制度，严格落实生态环境督办问责制，对履职不力、监管不严、失职渎职的要严肃问责，对盲目决策、造成生态环境破坏的行为要终身追责，促进全市生态修复工作的有序开展。</w:t>
      </w:r>
    </w:p>
    <w:p>
      <w:pPr>
        <w:ind w:firstLine="640" w:firstLineChars="200"/>
        <w:rPr>
          <w:rFonts w:hint="eastAsia" w:ascii="仿宋_GB2312" w:hAnsi="仿宋_GB2312" w:eastAsia="仿宋_GB2312" w:cs="仿宋_GB2312"/>
          <w:sz w:val="32"/>
          <w:szCs w:val="32"/>
        </w:rPr>
      </w:pPr>
    </w:p>
    <w:p>
      <w:pPr>
        <w:ind w:firstLine="640" w:firstLineChars="200"/>
        <w:rPr>
          <w:rFonts w:hint="eastAsia" w:ascii="仿宋_GB2312" w:hAnsi="仿宋_GB2312" w:eastAsia="仿宋_GB2312" w:cs="仿宋_GB2312"/>
          <w:sz w:val="32"/>
          <w:szCs w:val="32"/>
        </w:rPr>
      </w:pPr>
    </w:p>
    <w:p>
      <w:pPr>
        <w:rPr>
          <w:rFonts w:ascii="仿宋_GB2312" w:hAnsi="仿宋_GB2312" w:eastAsia="仿宋_GB2312" w:cs="仿宋_GB2312"/>
          <w:sz w:val="32"/>
          <w:szCs w:val="32"/>
        </w:rPr>
      </w:pPr>
      <w:r>
        <w:rPr>
          <w:rFonts w:ascii="仿宋_GB2312" w:hAnsi="仿宋_GB2312" w:eastAsia="仿宋_GB2312" w:cs="仿宋_GB2312"/>
          <w:sz w:val="32"/>
          <w:szCs w:val="32"/>
        </w:rPr>
        <w:t>附图</w:t>
      </w:r>
      <w:r>
        <w:rPr>
          <w:rFonts w:hint="eastAsia" w:ascii="仿宋_GB2312" w:hAnsi="仿宋_GB2312" w:eastAsia="仿宋_GB2312" w:cs="仿宋_GB2312"/>
          <w:sz w:val="32"/>
          <w:szCs w:val="32"/>
        </w:rPr>
        <w:t>1</w:t>
      </w:r>
    </w:p>
    <w:p>
      <w:pPr>
        <w:rPr>
          <w:rFonts w:ascii="仿宋_GB2312" w:hAnsi="仿宋_GB2312" w:eastAsia="仿宋_GB2312" w:cs="仿宋_GB2312"/>
          <w:sz w:val="32"/>
          <w:szCs w:val="32"/>
        </w:rPr>
      </w:pPr>
      <w:r>
        <w:rPr>
          <w:rFonts w:hint="eastAsia" w:ascii="仿宋_GB2312" w:hAnsi="仿宋_GB2312" w:eastAsia="仿宋_GB2312" w:cs="仿宋_GB2312"/>
          <w:sz w:val="32"/>
          <w:szCs w:val="32"/>
        </w:rPr>
        <w:t>附图1</w:t>
      </w:r>
    </w:p>
    <w:p>
      <w:pPr>
        <w:ind w:firstLine="640" w:firstLineChars="200"/>
        <w:rPr>
          <w:rFonts w:ascii="仿宋_GB2312" w:hAnsi="仿宋_GB2312" w:eastAsia="仿宋_GB2312" w:cs="仿宋_GB2312"/>
          <w:sz w:val="32"/>
          <w:szCs w:val="32"/>
        </w:rPr>
      </w:pPr>
    </w:p>
    <w:p>
      <w:pPr>
        <w:ind w:firstLine="640" w:firstLineChars="200"/>
        <w:rPr>
          <w:rFonts w:ascii="仿宋_GB2312" w:hAnsi="仿宋_GB2312" w:eastAsia="仿宋_GB2312" w:cs="仿宋_GB2312"/>
          <w:sz w:val="32"/>
          <w:szCs w:val="32"/>
        </w:rPr>
      </w:pPr>
      <w:r>
        <w:rPr>
          <w:rFonts w:ascii="仿宋_GB2312" w:hAnsi="仿宋_GB2312" w:eastAsia="仿宋_GB2312" w:cs="仿宋_GB2312"/>
          <w:sz w:val="32"/>
          <w:szCs w:val="32"/>
        </w:rPr>
        <w:drawing>
          <wp:anchor distT="0" distB="0" distL="114300" distR="114300" simplePos="0" relativeHeight="251661312" behindDoc="0" locked="0" layoutInCell="1" allowOverlap="1">
            <wp:simplePos x="0" y="0"/>
            <wp:positionH relativeFrom="column">
              <wp:posOffset>3810</wp:posOffset>
            </wp:positionH>
            <wp:positionV relativeFrom="paragraph">
              <wp:posOffset>-784225</wp:posOffset>
            </wp:positionV>
            <wp:extent cx="5053965" cy="8134350"/>
            <wp:effectExtent l="19050" t="0" r="0" b="0"/>
            <wp:wrapNone/>
            <wp:docPr id="6" name="图片 1" descr="QQ图片201603141009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descr="QQ图片20160314100943.jpg"/>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5053965" cy="8134350"/>
                    </a:xfrm>
                    <a:prstGeom prst="rect">
                      <a:avLst/>
                    </a:prstGeom>
                  </pic:spPr>
                </pic:pic>
              </a:graphicData>
            </a:graphic>
          </wp:anchor>
        </w:drawing>
      </w:r>
    </w:p>
    <w:p>
      <w:pPr>
        <w:ind w:firstLine="640" w:firstLineChars="200"/>
        <w:rPr>
          <w:rFonts w:ascii="仿宋_GB2312" w:hAnsi="仿宋_GB2312" w:eastAsia="仿宋_GB2312" w:cs="仿宋_GB2312"/>
          <w:sz w:val="32"/>
          <w:szCs w:val="32"/>
        </w:rPr>
      </w:pPr>
    </w:p>
    <w:p>
      <w:pPr>
        <w:ind w:firstLine="640" w:firstLineChars="200"/>
        <w:rPr>
          <w:rFonts w:ascii="仿宋_GB2312" w:hAnsi="仿宋_GB2312" w:eastAsia="仿宋_GB2312" w:cs="仿宋_GB2312"/>
          <w:sz w:val="32"/>
          <w:szCs w:val="32"/>
        </w:rPr>
      </w:pPr>
    </w:p>
    <w:p>
      <w:pPr>
        <w:ind w:firstLine="640" w:firstLineChars="200"/>
        <w:rPr>
          <w:rFonts w:ascii="仿宋_GB2312" w:hAnsi="仿宋_GB2312" w:eastAsia="仿宋_GB2312" w:cs="仿宋_GB2312"/>
          <w:sz w:val="32"/>
          <w:szCs w:val="32"/>
        </w:rPr>
      </w:pPr>
    </w:p>
    <w:p>
      <w:pPr>
        <w:ind w:firstLine="640" w:firstLineChars="200"/>
        <w:rPr>
          <w:rFonts w:ascii="仿宋_GB2312" w:hAnsi="仿宋_GB2312" w:eastAsia="仿宋_GB2312" w:cs="仿宋_GB2312"/>
          <w:sz w:val="32"/>
          <w:szCs w:val="32"/>
        </w:rPr>
      </w:pPr>
    </w:p>
    <w:p>
      <w:pPr>
        <w:ind w:firstLine="640" w:firstLineChars="200"/>
        <w:rPr>
          <w:rFonts w:ascii="仿宋_GB2312" w:hAnsi="仿宋_GB2312" w:eastAsia="仿宋_GB2312" w:cs="仿宋_GB2312"/>
          <w:sz w:val="32"/>
          <w:szCs w:val="32"/>
        </w:rPr>
      </w:pPr>
    </w:p>
    <w:p>
      <w:pPr>
        <w:ind w:firstLine="640" w:firstLineChars="200"/>
        <w:rPr>
          <w:rFonts w:ascii="仿宋_GB2312" w:hAnsi="仿宋_GB2312" w:eastAsia="仿宋_GB2312" w:cs="仿宋_GB2312"/>
          <w:sz w:val="32"/>
          <w:szCs w:val="32"/>
        </w:rPr>
      </w:pPr>
    </w:p>
    <w:p>
      <w:pPr>
        <w:ind w:firstLine="640" w:firstLineChars="200"/>
        <w:rPr>
          <w:rFonts w:ascii="仿宋_GB2312" w:hAnsi="仿宋_GB2312" w:eastAsia="仿宋_GB2312" w:cs="仿宋_GB2312"/>
          <w:sz w:val="32"/>
          <w:szCs w:val="32"/>
        </w:rPr>
      </w:pPr>
    </w:p>
    <w:p>
      <w:pPr>
        <w:ind w:firstLine="640" w:firstLineChars="200"/>
        <w:rPr>
          <w:rFonts w:ascii="仿宋_GB2312" w:hAnsi="仿宋_GB2312" w:eastAsia="仿宋_GB2312" w:cs="仿宋_GB2312"/>
          <w:sz w:val="32"/>
          <w:szCs w:val="32"/>
        </w:rPr>
      </w:pPr>
    </w:p>
    <w:p>
      <w:pPr>
        <w:ind w:firstLine="640" w:firstLineChars="200"/>
        <w:rPr>
          <w:rFonts w:ascii="仿宋_GB2312" w:hAnsi="仿宋_GB2312" w:eastAsia="仿宋_GB2312" w:cs="仿宋_GB2312"/>
          <w:sz w:val="32"/>
          <w:szCs w:val="32"/>
        </w:rPr>
      </w:pPr>
    </w:p>
    <w:p>
      <w:pPr>
        <w:ind w:firstLine="640" w:firstLineChars="200"/>
        <w:rPr>
          <w:rFonts w:ascii="仿宋_GB2312" w:hAnsi="仿宋_GB2312" w:eastAsia="仿宋_GB2312" w:cs="仿宋_GB2312"/>
          <w:sz w:val="32"/>
          <w:szCs w:val="32"/>
        </w:rPr>
      </w:pPr>
    </w:p>
    <w:p>
      <w:pPr>
        <w:ind w:firstLine="640" w:firstLineChars="200"/>
        <w:rPr>
          <w:rFonts w:ascii="仿宋_GB2312" w:hAnsi="仿宋_GB2312" w:eastAsia="仿宋_GB2312" w:cs="仿宋_GB2312"/>
          <w:sz w:val="32"/>
          <w:szCs w:val="32"/>
        </w:rPr>
      </w:pPr>
    </w:p>
    <w:p>
      <w:pPr>
        <w:ind w:firstLine="640" w:firstLineChars="200"/>
        <w:rPr>
          <w:rFonts w:ascii="仿宋_GB2312" w:hAnsi="仿宋_GB2312" w:eastAsia="仿宋_GB2312" w:cs="仿宋_GB2312"/>
          <w:sz w:val="32"/>
          <w:szCs w:val="32"/>
        </w:rPr>
      </w:pPr>
    </w:p>
    <w:p>
      <w:pPr>
        <w:ind w:firstLine="640" w:firstLineChars="200"/>
        <w:rPr>
          <w:rFonts w:ascii="仿宋_GB2312" w:hAnsi="仿宋_GB2312" w:eastAsia="仿宋_GB2312" w:cs="仿宋_GB2312"/>
          <w:sz w:val="32"/>
          <w:szCs w:val="32"/>
        </w:rPr>
      </w:pPr>
    </w:p>
    <w:p>
      <w:pPr>
        <w:ind w:firstLine="640" w:firstLineChars="200"/>
        <w:rPr>
          <w:rFonts w:ascii="仿宋_GB2312" w:hAnsi="仿宋_GB2312" w:eastAsia="仿宋_GB2312" w:cs="仿宋_GB2312"/>
          <w:sz w:val="32"/>
          <w:szCs w:val="32"/>
        </w:rPr>
      </w:pPr>
    </w:p>
    <w:p>
      <w:pPr>
        <w:rPr>
          <w:rFonts w:ascii="仿宋_GB2312" w:hAnsi="仿宋_GB2312" w:eastAsia="仿宋_GB2312" w:cs="仿宋_GB2312"/>
          <w:sz w:val="32"/>
          <w:szCs w:val="32"/>
        </w:rPr>
      </w:pPr>
    </w:p>
    <w:p>
      <w:pPr>
        <w:rPr>
          <w:rFonts w:ascii="仿宋_GB2312" w:hAnsi="仿宋_GB2312" w:eastAsia="仿宋_GB2312" w:cs="仿宋_GB2312"/>
          <w:sz w:val="32"/>
          <w:szCs w:val="32"/>
        </w:rPr>
      </w:pPr>
      <w:r>
        <w:rPr>
          <w:rFonts w:hint="eastAsia" w:ascii="仿宋_GB2312" w:hAnsi="仿宋_GB2312" w:eastAsia="仿宋_GB2312" w:cs="仿宋_GB2312"/>
          <w:sz w:val="32"/>
          <w:szCs w:val="32"/>
        </w:rPr>
        <w:t>附图2</w:t>
      </w:r>
    </w:p>
    <w:p>
      <w:pPr>
        <w:ind w:firstLine="640" w:firstLineChars="200"/>
        <w:rPr>
          <w:rFonts w:ascii="仿宋_GB2312" w:hAnsi="仿宋_GB2312" w:eastAsia="仿宋_GB2312" w:cs="仿宋_GB2312"/>
          <w:sz w:val="32"/>
          <w:szCs w:val="32"/>
        </w:rPr>
      </w:pPr>
    </w:p>
    <w:p>
      <w:pPr>
        <w:rPr>
          <w:rFonts w:ascii="仿宋_GB2312" w:hAnsi="仿宋_GB2312" w:eastAsia="仿宋_GB2312" w:cs="仿宋_GB2312"/>
          <w:sz w:val="32"/>
          <w:szCs w:val="32"/>
        </w:rPr>
      </w:pPr>
    </w:p>
    <w:p>
      <w:pPr>
        <w:rPr>
          <w:rFonts w:ascii="仿宋_GB2312" w:hAnsi="仿宋_GB2312" w:eastAsia="仿宋_GB2312" w:cs="仿宋_GB2312"/>
          <w:sz w:val="32"/>
          <w:szCs w:val="32"/>
        </w:rPr>
      </w:pPr>
      <w:r>
        <w:rPr>
          <w:rFonts w:hint="eastAsia" w:ascii="仿宋_GB2312" w:hAnsi="仿宋_GB2312" w:eastAsia="仿宋_GB2312" w:cs="仿宋_GB2312"/>
          <w:sz w:val="32"/>
          <w:szCs w:val="32"/>
        </w:rPr>
        <w:t>附图2</w:t>
      </w:r>
    </w:p>
    <w:p>
      <w:pPr>
        <w:rPr>
          <w:rFonts w:ascii="仿宋_GB2312" w:hAnsi="仿宋_GB2312" w:eastAsia="仿宋_GB2312" w:cs="仿宋_GB2312"/>
          <w:sz w:val="32"/>
          <w:szCs w:val="32"/>
        </w:rPr>
      </w:pPr>
      <w:r>
        <w:rPr>
          <w:rFonts w:ascii="仿宋_GB2312" w:hAnsi="仿宋_GB2312" w:eastAsia="仿宋_GB2312" w:cs="仿宋_GB2312"/>
          <w:sz w:val="32"/>
          <w:szCs w:val="32"/>
        </w:rPr>
        <w:drawing>
          <wp:anchor distT="0" distB="0" distL="114300" distR="114300" simplePos="0" relativeHeight="251660288" behindDoc="0" locked="0" layoutInCell="1" allowOverlap="1">
            <wp:simplePos x="0" y="0"/>
            <wp:positionH relativeFrom="column">
              <wp:posOffset>-95885</wp:posOffset>
            </wp:positionH>
            <wp:positionV relativeFrom="paragraph">
              <wp:posOffset>99060</wp:posOffset>
            </wp:positionV>
            <wp:extent cx="5264150" cy="7657465"/>
            <wp:effectExtent l="38100" t="19050" r="12700" b="19685"/>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264150" cy="7657465"/>
                    </a:xfrm>
                    <a:prstGeom prst="rect">
                      <a:avLst/>
                    </a:prstGeom>
                    <a:ln>
                      <a:solidFill>
                        <a:schemeClr val="tx1"/>
                      </a:solidFill>
                    </a:ln>
                  </pic:spPr>
                </pic:pic>
              </a:graphicData>
            </a:graphic>
          </wp:anchor>
        </w:drawing>
      </w:r>
    </w:p>
    <w:p>
      <w:pPr>
        <w:rPr>
          <w:rFonts w:ascii="仿宋_GB2312" w:hAnsi="仿宋_GB2312" w:eastAsia="仿宋_GB2312" w:cs="仿宋_GB2312"/>
          <w:sz w:val="32"/>
          <w:szCs w:val="32"/>
        </w:rPr>
      </w:pPr>
    </w:p>
    <w:p>
      <w:pPr>
        <w:rPr>
          <w:rFonts w:ascii="仿宋_GB2312" w:hAnsi="仿宋_GB2312" w:eastAsia="仿宋_GB2312" w:cs="仿宋_GB2312"/>
          <w:sz w:val="32"/>
          <w:szCs w:val="32"/>
        </w:rPr>
      </w:pPr>
    </w:p>
    <w:p>
      <w:pPr>
        <w:rPr>
          <w:rFonts w:ascii="仿宋_GB2312" w:hAnsi="仿宋_GB2312" w:eastAsia="仿宋_GB2312" w:cs="仿宋_GB2312"/>
          <w:sz w:val="32"/>
          <w:szCs w:val="32"/>
        </w:rPr>
      </w:pPr>
    </w:p>
    <w:p>
      <w:pPr>
        <w:rPr>
          <w:rFonts w:ascii="仿宋_GB2312" w:hAnsi="仿宋_GB2312" w:eastAsia="仿宋_GB2312" w:cs="仿宋_GB2312"/>
          <w:sz w:val="32"/>
          <w:szCs w:val="32"/>
        </w:rPr>
      </w:pPr>
    </w:p>
    <w:p>
      <w:pPr>
        <w:rPr>
          <w:rFonts w:ascii="仿宋_GB2312" w:hAnsi="仿宋_GB2312" w:eastAsia="仿宋_GB2312" w:cs="仿宋_GB2312"/>
          <w:sz w:val="32"/>
          <w:szCs w:val="32"/>
        </w:rPr>
      </w:pPr>
    </w:p>
    <w:p>
      <w:pPr>
        <w:rPr>
          <w:rFonts w:ascii="仿宋_GB2312" w:hAnsi="仿宋_GB2312" w:eastAsia="仿宋_GB2312" w:cs="仿宋_GB2312"/>
          <w:sz w:val="32"/>
          <w:szCs w:val="32"/>
        </w:rPr>
      </w:pPr>
    </w:p>
    <w:p>
      <w:pPr>
        <w:rPr>
          <w:rFonts w:ascii="仿宋_GB2312" w:hAnsi="仿宋_GB2312" w:eastAsia="仿宋_GB2312" w:cs="仿宋_GB2312"/>
          <w:sz w:val="32"/>
          <w:szCs w:val="32"/>
        </w:rPr>
      </w:pPr>
    </w:p>
    <w:p>
      <w:pPr>
        <w:rPr>
          <w:rFonts w:ascii="仿宋_GB2312" w:hAnsi="仿宋_GB2312" w:eastAsia="仿宋_GB2312" w:cs="仿宋_GB2312"/>
          <w:sz w:val="32"/>
          <w:szCs w:val="32"/>
        </w:rPr>
      </w:pPr>
    </w:p>
    <w:p>
      <w:pPr>
        <w:rPr>
          <w:rFonts w:ascii="仿宋_GB2312" w:hAnsi="仿宋_GB2312" w:eastAsia="仿宋_GB2312" w:cs="仿宋_GB2312"/>
          <w:sz w:val="32"/>
          <w:szCs w:val="32"/>
        </w:rPr>
      </w:pPr>
    </w:p>
    <w:p>
      <w:pPr>
        <w:rPr>
          <w:rFonts w:ascii="仿宋_GB2312" w:hAnsi="仿宋_GB2312" w:eastAsia="仿宋_GB2312" w:cs="仿宋_GB2312"/>
          <w:sz w:val="32"/>
          <w:szCs w:val="32"/>
        </w:rPr>
      </w:pPr>
    </w:p>
    <w:p>
      <w:pPr>
        <w:rPr>
          <w:rFonts w:ascii="仿宋_GB2312" w:hAnsi="仿宋_GB2312" w:eastAsia="仿宋_GB2312" w:cs="仿宋_GB2312"/>
          <w:sz w:val="32"/>
          <w:szCs w:val="32"/>
        </w:rPr>
      </w:pPr>
    </w:p>
    <w:p>
      <w:pPr>
        <w:rPr>
          <w:rFonts w:ascii="仿宋_GB2312" w:hAnsi="仿宋_GB2312" w:eastAsia="仿宋_GB2312" w:cs="仿宋_GB2312"/>
          <w:sz w:val="32"/>
          <w:szCs w:val="32"/>
        </w:rPr>
      </w:pPr>
    </w:p>
    <w:p>
      <w:pPr>
        <w:rPr>
          <w:rFonts w:ascii="仿宋_GB2312" w:hAnsi="仿宋_GB2312" w:eastAsia="仿宋_GB2312" w:cs="仿宋_GB2312"/>
          <w:sz w:val="32"/>
          <w:szCs w:val="32"/>
        </w:rPr>
      </w:pPr>
    </w:p>
    <w:p>
      <w:pPr>
        <w:rPr>
          <w:rFonts w:ascii="仿宋_GB2312" w:hAnsi="仿宋_GB2312" w:eastAsia="仿宋_GB2312" w:cs="仿宋_GB2312"/>
          <w:sz w:val="32"/>
          <w:szCs w:val="32"/>
        </w:rPr>
      </w:pPr>
    </w:p>
    <w:p>
      <w:pPr>
        <w:rPr>
          <w:rFonts w:ascii="仿宋_GB2312" w:hAnsi="仿宋_GB2312" w:eastAsia="仿宋_GB2312" w:cs="仿宋_GB2312"/>
          <w:sz w:val="32"/>
          <w:szCs w:val="32"/>
        </w:rPr>
      </w:pPr>
    </w:p>
    <w:p>
      <w:pPr>
        <w:rPr>
          <w:rFonts w:ascii="仿宋_GB2312" w:hAnsi="仿宋_GB2312" w:eastAsia="仿宋_GB2312" w:cs="仿宋_GB2312"/>
          <w:sz w:val="32"/>
          <w:szCs w:val="32"/>
        </w:rPr>
      </w:pPr>
    </w:p>
    <w:p>
      <w:pPr>
        <w:ind w:firstLine="640" w:firstLineChars="200"/>
        <w:rPr>
          <w:rFonts w:ascii="仿宋_GB2312" w:hAnsi="仿宋_GB2312" w:eastAsia="仿宋_GB2312" w:cs="仿宋_GB2312"/>
          <w:sz w:val="32"/>
          <w:szCs w:val="32"/>
        </w:rPr>
      </w:pPr>
    </w:p>
    <w:p>
      <w:pPr>
        <w:rPr>
          <w:rFonts w:ascii="仿宋_GB2312" w:hAnsi="仿宋_GB2312" w:eastAsia="仿宋_GB2312" w:cs="仿宋_GB2312"/>
          <w:sz w:val="32"/>
          <w:szCs w:val="32"/>
        </w:rPr>
      </w:pPr>
      <w:r>
        <w:rPr>
          <w:rFonts w:hint="eastAsia" w:ascii="仿宋_GB2312" w:hAnsi="仿宋_GB2312" w:eastAsia="仿宋_GB2312" w:cs="仿宋_GB2312"/>
          <w:sz w:val="32"/>
          <w:szCs w:val="32"/>
        </w:rPr>
        <w:t>附图3</w:t>
      </w:r>
    </w:p>
    <w:p>
      <w:pPr>
        <w:rPr>
          <w:rFonts w:ascii="仿宋_GB2312" w:hAnsi="仿宋_GB2312" w:eastAsia="仿宋_GB2312" w:cs="仿宋_GB2312"/>
          <w:sz w:val="32"/>
          <w:szCs w:val="32"/>
        </w:rPr>
      </w:pPr>
    </w:p>
    <w:p>
      <w:pPr>
        <w:ind w:firstLine="1044" w:firstLineChars="200"/>
        <w:rPr>
          <w:rFonts w:ascii="仿宋_GB2312" w:hAnsi="仿宋_GB2312" w:eastAsia="仿宋_GB2312" w:cs="仿宋_GB2312"/>
          <w:b/>
          <w:sz w:val="52"/>
          <w:szCs w:val="52"/>
        </w:rPr>
      </w:pPr>
    </w:p>
    <w:p>
      <w:pPr>
        <w:jc w:val="left"/>
        <w:rPr>
          <w:rFonts w:ascii="仿宋_GB2312" w:hAnsi="仿宋_GB2312" w:eastAsia="仿宋_GB2312" w:cs="仿宋_GB2312"/>
          <w:sz w:val="32"/>
          <w:szCs w:val="32"/>
        </w:rPr>
      </w:pPr>
      <w:r>
        <w:rPr>
          <w:rFonts w:ascii="仿宋_GB2312" w:hAnsi="仿宋_GB2312" w:eastAsia="仿宋_GB2312" w:cs="仿宋_GB2312"/>
          <w:sz w:val="32"/>
          <w:szCs w:val="32"/>
        </w:rPr>
        <w:t>附图</w:t>
      </w:r>
      <w:r>
        <w:rPr>
          <w:rFonts w:hint="eastAsia" w:ascii="仿宋_GB2312" w:hAnsi="仿宋_GB2312" w:eastAsia="仿宋_GB2312" w:cs="仿宋_GB2312"/>
          <w:sz w:val="32"/>
          <w:szCs w:val="32"/>
        </w:rPr>
        <w:t>3</w:t>
      </w:r>
    </w:p>
    <w:p>
      <w:pPr>
        <w:jc w:val="left"/>
        <w:rPr>
          <w:rFonts w:ascii="仿宋_GB2312" w:hAnsi="仿宋_GB2312" w:eastAsia="仿宋_GB2312" w:cs="仿宋_GB2312"/>
          <w:sz w:val="32"/>
          <w:szCs w:val="32"/>
        </w:rPr>
      </w:pPr>
      <w:r>
        <w:rPr>
          <w:rFonts w:ascii="仿宋_GB2312" w:hAnsi="仿宋_GB2312" w:eastAsia="仿宋_GB2312" w:cs="仿宋_GB2312"/>
          <w:sz w:val="32"/>
          <w:szCs w:val="32"/>
        </w:rPr>
        <w:drawing>
          <wp:anchor distT="0" distB="0" distL="114300" distR="114300" simplePos="0" relativeHeight="251659264" behindDoc="0" locked="0" layoutInCell="1" allowOverlap="1">
            <wp:simplePos x="0" y="0"/>
            <wp:positionH relativeFrom="column">
              <wp:posOffset>76835</wp:posOffset>
            </wp:positionH>
            <wp:positionV relativeFrom="paragraph">
              <wp:posOffset>183515</wp:posOffset>
            </wp:positionV>
            <wp:extent cx="5313680" cy="7814310"/>
            <wp:effectExtent l="38100" t="19050" r="20320" b="15240"/>
            <wp:wrapNone/>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5313680" cy="7814310"/>
                    </a:xfrm>
                    <a:prstGeom prst="rect">
                      <a:avLst/>
                    </a:prstGeom>
                    <a:ln>
                      <a:solidFill>
                        <a:schemeClr val="tx1"/>
                      </a:solidFill>
                    </a:ln>
                  </pic:spPr>
                </pic:pic>
              </a:graphicData>
            </a:graphic>
          </wp:anchor>
        </w:drawing>
      </w:r>
    </w:p>
    <w:p>
      <w:pPr>
        <w:jc w:val="left"/>
        <w:rPr>
          <w:rFonts w:ascii="仿宋_GB2312" w:hAnsi="仿宋_GB2312" w:eastAsia="仿宋_GB2312" w:cs="仿宋_GB2312"/>
          <w:sz w:val="32"/>
          <w:szCs w:val="32"/>
        </w:rPr>
      </w:pPr>
    </w:p>
    <w:p>
      <w:pPr>
        <w:jc w:val="left"/>
        <w:rPr>
          <w:rFonts w:ascii="仿宋_GB2312" w:hAnsi="仿宋_GB2312" w:eastAsia="仿宋_GB2312" w:cs="仿宋_GB2312"/>
          <w:sz w:val="32"/>
          <w:szCs w:val="32"/>
        </w:rPr>
      </w:pPr>
    </w:p>
    <w:p>
      <w:pPr>
        <w:jc w:val="left"/>
        <w:rPr>
          <w:rFonts w:ascii="仿宋_GB2312" w:hAnsi="仿宋_GB2312" w:eastAsia="仿宋_GB2312" w:cs="仿宋_GB2312"/>
          <w:sz w:val="32"/>
          <w:szCs w:val="32"/>
        </w:rPr>
      </w:pPr>
    </w:p>
    <w:p>
      <w:pPr>
        <w:jc w:val="left"/>
        <w:rPr>
          <w:rFonts w:ascii="仿宋_GB2312" w:hAnsi="仿宋_GB2312" w:eastAsia="仿宋_GB2312" w:cs="仿宋_GB2312"/>
          <w:sz w:val="32"/>
          <w:szCs w:val="32"/>
        </w:rPr>
      </w:pPr>
    </w:p>
    <w:p>
      <w:pPr>
        <w:jc w:val="left"/>
        <w:rPr>
          <w:rFonts w:ascii="仿宋_GB2312" w:hAnsi="仿宋_GB2312" w:eastAsia="仿宋_GB2312" w:cs="仿宋_GB2312"/>
          <w:sz w:val="32"/>
          <w:szCs w:val="32"/>
        </w:rPr>
      </w:pPr>
    </w:p>
    <w:p>
      <w:pPr>
        <w:jc w:val="left"/>
        <w:rPr>
          <w:rFonts w:ascii="仿宋_GB2312" w:hAnsi="仿宋_GB2312" w:eastAsia="仿宋_GB2312" w:cs="仿宋_GB2312"/>
          <w:sz w:val="32"/>
          <w:szCs w:val="32"/>
        </w:rPr>
      </w:pPr>
    </w:p>
    <w:p>
      <w:pPr>
        <w:jc w:val="left"/>
        <w:rPr>
          <w:rFonts w:ascii="仿宋_GB2312" w:hAnsi="仿宋_GB2312" w:eastAsia="仿宋_GB2312" w:cs="仿宋_GB2312"/>
          <w:sz w:val="32"/>
          <w:szCs w:val="32"/>
        </w:rPr>
      </w:pPr>
    </w:p>
    <w:p>
      <w:pPr>
        <w:jc w:val="left"/>
        <w:rPr>
          <w:rFonts w:ascii="仿宋_GB2312" w:hAnsi="仿宋_GB2312" w:eastAsia="仿宋_GB2312" w:cs="仿宋_GB2312"/>
          <w:sz w:val="32"/>
          <w:szCs w:val="32"/>
        </w:rPr>
      </w:pPr>
    </w:p>
    <w:p>
      <w:pPr>
        <w:jc w:val="left"/>
        <w:rPr>
          <w:rFonts w:ascii="仿宋_GB2312" w:hAnsi="仿宋_GB2312" w:eastAsia="仿宋_GB2312" w:cs="仿宋_GB2312"/>
          <w:sz w:val="32"/>
          <w:szCs w:val="32"/>
        </w:rPr>
      </w:pPr>
    </w:p>
    <w:p>
      <w:pPr>
        <w:jc w:val="left"/>
        <w:rPr>
          <w:rFonts w:ascii="仿宋_GB2312" w:hAnsi="仿宋_GB2312" w:eastAsia="仿宋_GB2312" w:cs="仿宋_GB2312"/>
          <w:sz w:val="32"/>
          <w:szCs w:val="32"/>
        </w:rPr>
      </w:pPr>
    </w:p>
    <w:p>
      <w:pPr>
        <w:jc w:val="left"/>
        <w:rPr>
          <w:rFonts w:ascii="仿宋_GB2312" w:hAnsi="仿宋_GB2312" w:eastAsia="仿宋_GB2312" w:cs="仿宋_GB2312"/>
          <w:sz w:val="32"/>
          <w:szCs w:val="32"/>
        </w:rPr>
      </w:pPr>
    </w:p>
    <w:p>
      <w:pPr>
        <w:jc w:val="left"/>
        <w:rPr>
          <w:rFonts w:ascii="仿宋_GB2312" w:hAnsi="仿宋_GB2312" w:eastAsia="仿宋_GB2312" w:cs="仿宋_GB2312"/>
          <w:sz w:val="32"/>
          <w:szCs w:val="32"/>
        </w:rPr>
      </w:pPr>
    </w:p>
    <w:p>
      <w:pPr>
        <w:jc w:val="left"/>
        <w:rPr>
          <w:rFonts w:ascii="仿宋_GB2312" w:hAnsi="仿宋_GB2312" w:eastAsia="仿宋_GB2312" w:cs="仿宋_GB2312"/>
          <w:sz w:val="32"/>
          <w:szCs w:val="32"/>
        </w:rPr>
      </w:pPr>
    </w:p>
    <w:p>
      <w:pPr>
        <w:jc w:val="left"/>
        <w:rPr>
          <w:rFonts w:ascii="仿宋_GB2312" w:hAnsi="仿宋_GB2312" w:eastAsia="仿宋_GB2312" w:cs="仿宋_GB2312"/>
          <w:sz w:val="32"/>
          <w:szCs w:val="32"/>
        </w:rPr>
      </w:pPr>
    </w:p>
    <w:p>
      <w:pPr>
        <w:jc w:val="left"/>
        <w:rPr>
          <w:rFonts w:ascii="仿宋_GB2312" w:hAnsi="仿宋_GB2312" w:eastAsia="仿宋_GB2312" w:cs="仿宋_GB2312"/>
          <w:sz w:val="32"/>
          <w:szCs w:val="32"/>
        </w:rPr>
      </w:pPr>
    </w:p>
    <w:p>
      <w:pPr>
        <w:jc w:val="left"/>
        <w:rPr>
          <w:rFonts w:ascii="仿宋_GB2312" w:hAnsi="仿宋_GB2312" w:eastAsia="仿宋_GB2312" w:cs="仿宋_GB2312"/>
          <w:sz w:val="32"/>
          <w:szCs w:val="32"/>
        </w:rPr>
      </w:pPr>
    </w:p>
    <w:p>
      <w:pPr>
        <w:jc w:val="left"/>
        <w:rPr>
          <w:rFonts w:ascii="仿宋_GB2312" w:hAnsi="仿宋_GB2312" w:eastAsia="仿宋_GB2312" w:cs="仿宋_GB2312"/>
          <w:sz w:val="32"/>
          <w:szCs w:val="32"/>
        </w:rPr>
      </w:pPr>
    </w:p>
    <w:p>
      <w:pPr>
        <w:jc w:val="left"/>
        <w:rPr>
          <w:rFonts w:hint="eastAsia" w:ascii="仿宋_GB2312" w:hAnsi="仿宋_GB2312" w:eastAsia="仿宋_GB2312" w:cs="仿宋_GB2312"/>
          <w:sz w:val="32"/>
          <w:szCs w:val="32"/>
        </w:rPr>
      </w:pPr>
    </w:p>
    <w:p>
      <w:pPr>
        <w:jc w:val="left"/>
        <w:rPr>
          <w:rFonts w:hint="eastAsia" w:ascii="仿宋_GB2312" w:hAnsi="仿宋_GB2312" w:eastAsia="仿宋_GB2312" w:cs="仿宋_GB2312"/>
          <w:sz w:val="32"/>
          <w:szCs w:val="32"/>
        </w:rPr>
      </w:pPr>
    </w:p>
    <w:p>
      <w:pPr>
        <w:jc w:val="left"/>
        <w:rPr>
          <w:rFonts w:hint="eastAsia" w:ascii="仿宋_GB2312" w:hAnsi="仿宋_GB2312" w:eastAsia="仿宋_GB2312" w:cs="仿宋_GB2312"/>
          <w:sz w:val="32"/>
          <w:szCs w:val="32"/>
        </w:rPr>
      </w:pPr>
    </w:p>
    <w:p>
      <w:pPr>
        <w:jc w:val="left"/>
        <w:rPr>
          <w:rFonts w:ascii="仿宋_GB2312" w:hAnsi="仿宋_GB2312" w:eastAsia="仿宋_GB2312" w:cs="仿宋_GB2312"/>
          <w:sz w:val="32"/>
          <w:szCs w:val="32"/>
        </w:rPr>
      </w:pPr>
      <w:r>
        <w:rPr>
          <w:rFonts w:hint="eastAsia" w:ascii="仿宋_GB2312" w:hAnsi="仿宋_GB2312" w:eastAsia="仿宋_GB2312" w:cs="仿宋_GB2312"/>
          <w:sz w:val="32"/>
          <w:szCs w:val="32"/>
        </w:rPr>
        <w:t>附图4</w:t>
      </w:r>
      <w:r>
        <w:rPr>
          <w:rFonts w:hint="eastAsia" w:ascii="仿宋_GB2312" w:hAnsi="仿宋_GB2312" w:eastAsia="仿宋_GB2312" w:cs="仿宋_GB2312"/>
          <w:sz w:val="32"/>
          <w:szCs w:val="32"/>
        </w:rPr>
        <w:drawing>
          <wp:inline distT="0" distB="0" distL="0" distR="0">
            <wp:extent cx="5266055" cy="7360920"/>
            <wp:effectExtent l="0" t="0" r="0" b="0"/>
            <wp:docPr id="1" name="图片 0" descr="QQ图片201603141446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0" descr="QQ图片20160314144619.jpg"/>
                    <pic:cNvPicPr>
                      <a:picLocks noChangeAspect="1"/>
                    </pic:cNvPicPr>
                  </pic:nvPicPr>
                  <pic:blipFill>
                    <a:blip r:embed="rId10" cstate="print"/>
                    <a:stretch>
                      <a:fillRect/>
                    </a:stretch>
                  </pic:blipFill>
                  <pic:spPr>
                    <a:xfrm>
                      <a:off x="0" y="0"/>
                      <a:ext cx="5262113" cy="7358332"/>
                    </a:xfrm>
                    <a:prstGeom prst="rect">
                      <a:avLst/>
                    </a:prstGeom>
                    <a:ln>
                      <a:noFill/>
                    </a:ln>
                  </pic:spPr>
                </pic:pic>
              </a:graphicData>
            </a:graphic>
          </wp:inline>
        </w:drawing>
      </w:r>
    </w:p>
    <w:sectPr>
      <w:pgSz w:w="11906" w:h="16838"/>
      <w:pgMar w:top="1440" w:right="1800" w:bottom="1440" w:left="180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仿宋">
    <w:panose1 w:val="02010609060101010101"/>
    <w:charset w:val="86"/>
    <w:family w:val="modern"/>
    <w:pitch w:val="default"/>
    <w:sig w:usb0="800002BF" w:usb1="38CF7CFA" w:usb2="00000016" w:usb3="00000000" w:csb0="00040001" w:csb1="00000000"/>
  </w:font>
  <w:font w:name="仿宋_GB2312">
    <w:altName w:val="仿宋"/>
    <w:panose1 w:val="00000000000000000000"/>
    <w:charset w:val="86"/>
    <w:family w:val="swiss"/>
    <w:pitch w:val="default"/>
    <w:sig w:usb0="00000000" w:usb1="00000000" w:usb2="00000000" w:usb3="00000000" w:csb0="00040000" w:csb1="00000000"/>
  </w:font>
  <w:font w:name="楷体_GB2312">
    <w:altName w:val="楷体"/>
    <w:panose1 w:val="00000000000000000000"/>
    <w:charset w:val="86"/>
    <w:family w:val="swiss"/>
    <w:pitch w:val="default"/>
    <w:sig w:usb0="00000000" w:usb1="00000000" w:usb2="00000000" w:usb3="00000000" w:csb0="00040000" w:csb1="0000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swiss"/>
    <w:pitch w:val="default"/>
    <w:sig w:usb0="80000287" w:usb1="2ACF3C5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framePr w:wrap="around" w:vAnchor="text" w:hAnchor="margin" w:xAlign="right" w:y="1"/>
      <w:rPr>
        <w:rStyle w:val="13"/>
      </w:rPr>
    </w:pPr>
    <w:r>
      <w:rPr>
        <w:rStyle w:val="13"/>
      </w:rPr>
      <w:fldChar w:fldCharType="begin"/>
    </w:r>
    <w:r>
      <w:rPr>
        <w:rStyle w:val="13"/>
      </w:rPr>
      <w:instrText xml:space="preserve">PAGE  </w:instrText>
    </w:r>
    <w:r>
      <w:rPr>
        <w:rStyle w:val="13"/>
      </w:rPr>
      <w:fldChar w:fldCharType="separate"/>
    </w:r>
    <w:r>
      <w:rPr>
        <w:rStyle w:val="13"/>
      </w:rPr>
      <w:t>40</w:t>
    </w:r>
    <w:r>
      <w:rPr>
        <w:rStyle w:val="13"/>
      </w:rPr>
      <w:fldChar w:fldCharType="end"/>
    </w:r>
  </w:p>
  <w:p>
    <w:pPr>
      <w:pStyle w:val="6"/>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framePr w:wrap="around" w:vAnchor="text" w:hAnchor="margin" w:xAlign="right" w:y="1"/>
      <w:rPr>
        <w:rStyle w:val="13"/>
      </w:rPr>
    </w:pPr>
    <w:r>
      <w:rPr>
        <w:rStyle w:val="13"/>
      </w:rPr>
      <w:fldChar w:fldCharType="begin"/>
    </w:r>
    <w:r>
      <w:rPr>
        <w:rStyle w:val="13"/>
      </w:rPr>
      <w:instrText xml:space="preserve">PAGE  </w:instrText>
    </w:r>
    <w:r>
      <w:rPr>
        <w:rStyle w:val="13"/>
      </w:rPr>
      <w:fldChar w:fldCharType="end"/>
    </w:r>
  </w:p>
  <w:p>
    <w:pPr>
      <w:pStyle w:val="6"/>
      <w:ind w:right="360"/>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9567491"/>
    <w:multiLevelType w:val="multilevel"/>
    <w:tmpl w:val="59567491"/>
    <w:lvl w:ilvl="0" w:tentative="0">
      <w:start w:val="1"/>
      <w:numFmt w:val="decimal"/>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doNotValidateAgainstSchema/>
  <w:doNotDemarcateInvalidXml/>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ZmY5NWQxY2YwYjNiOWFiZTFhMWQ1YWJmNzAxNWU0MmEifQ=="/>
  </w:docVars>
  <w:rsids>
    <w:rsidRoot w:val="00172A27"/>
    <w:rsid w:val="00005C40"/>
    <w:rsid w:val="00006C35"/>
    <w:rsid w:val="00010922"/>
    <w:rsid w:val="00011C1E"/>
    <w:rsid w:val="00013E18"/>
    <w:rsid w:val="00015081"/>
    <w:rsid w:val="00016483"/>
    <w:rsid w:val="00020933"/>
    <w:rsid w:val="00021426"/>
    <w:rsid w:val="00027998"/>
    <w:rsid w:val="000452D7"/>
    <w:rsid w:val="00055F19"/>
    <w:rsid w:val="0005792A"/>
    <w:rsid w:val="00064BD3"/>
    <w:rsid w:val="00071945"/>
    <w:rsid w:val="000739F0"/>
    <w:rsid w:val="00076A29"/>
    <w:rsid w:val="000822D7"/>
    <w:rsid w:val="00083747"/>
    <w:rsid w:val="0008552F"/>
    <w:rsid w:val="00094847"/>
    <w:rsid w:val="000978B9"/>
    <w:rsid w:val="000A3BD8"/>
    <w:rsid w:val="000A44FD"/>
    <w:rsid w:val="000B0DE5"/>
    <w:rsid w:val="000B2A4E"/>
    <w:rsid w:val="000B3348"/>
    <w:rsid w:val="000B393D"/>
    <w:rsid w:val="000C0519"/>
    <w:rsid w:val="000C0694"/>
    <w:rsid w:val="000C1CBC"/>
    <w:rsid w:val="000C60EF"/>
    <w:rsid w:val="000C6CDB"/>
    <w:rsid w:val="000D0491"/>
    <w:rsid w:val="000D06BB"/>
    <w:rsid w:val="000D7109"/>
    <w:rsid w:val="000F07D5"/>
    <w:rsid w:val="000F7D7F"/>
    <w:rsid w:val="001021DE"/>
    <w:rsid w:val="00114641"/>
    <w:rsid w:val="00114805"/>
    <w:rsid w:val="00117119"/>
    <w:rsid w:val="00120E1D"/>
    <w:rsid w:val="001211CF"/>
    <w:rsid w:val="00121490"/>
    <w:rsid w:val="00132945"/>
    <w:rsid w:val="00133DFD"/>
    <w:rsid w:val="001441C2"/>
    <w:rsid w:val="00144454"/>
    <w:rsid w:val="00145A25"/>
    <w:rsid w:val="00151691"/>
    <w:rsid w:val="00153298"/>
    <w:rsid w:val="00153ED2"/>
    <w:rsid w:val="00161922"/>
    <w:rsid w:val="00170511"/>
    <w:rsid w:val="00172A27"/>
    <w:rsid w:val="00181F01"/>
    <w:rsid w:val="001840DF"/>
    <w:rsid w:val="00184156"/>
    <w:rsid w:val="0018477F"/>
    <w:rsid w:val="0019039D"/>
    <w:rsid w:val="00190BF2"/>
    <w:rsid w:val="001A5C0D"/>
    <w:rsid w:val="001A5FD4"/>
    <w:rsid w:val="001A70C0"/>
    <w:rsid w:val="001B3F5F"/>
    <w:rsid w:val="001B630C"/>
    <w:rsid w:val="001C56A0"/>
    <w:rsid w:val="001C5840"/>
    <w:rsid w:val="001D34D3"/>
    <w:rsid w:val="001E1C15"/>
    <w:rsid w:val="001E26C4"/>
    <w:rsid w:val="001F040C"/>
    <w:rsid w:val="001F0A17"/>
    <w:rsid w:val="001F5ADC"/>
    <w:rsid w:val="00200DE2"/>
    <w:rsid w:val="002034EA"/>
    <w:rsid w:val="002055D5"/>
    <w:rsid w:val="00205FFF"/>
    <w:rsid w:val="002122BB"/>
    <w:rsid w:val="00216004"/>
    <w:rsid w:val="00216832"/>
    <w:rsid w:val="00220211"/>
    <w:rsid w:val="00220670"/>
    <w:rsid w:val="00220C09"/>
    <w:rsid w:val="00223B33"/>
    <w:rsid w:val="002261D7"/>
    <w:rsid w:val="00226394"/>
    <w:rsid w:val="00226684"/>
    <w:rsid w:val="0023445F"/>
    <w:rsid w:val="00234FFA"/>
    <w:rsid w:val="0023639D"/>
    <w:rsid w:val="00245EC8"/>
    <w:rsid w:val="00247D0E"/>
    <w:rsid w:val="00253E44"/>
    <w:rsid w:val="0025411A"/>
    <w:rsid w:val="002600C4"/>
    <w:rsid w:val="0026175E"/>
    <w:rsid w:val="00275564"/>
    <w:rsid w:val="00281917"/>
    <w:rsid w:val="00281CDD"/>
    <w:rsid w:val="00287894"/>
    <w:rsid w:val="00292892"/>
    <w:rsid w:val="0029609B"/>
    <w:rsid w:val="002A1ECD"/>
    <w:rsid w:val="002A5D69"/>
    <w:rsid w:val="002A701D"/>
    <w:rsid w:val="002B28F5"/>
    <w:rsid w:val="002B361B"/>
    <w:rsid w:val="002B50F2"/>
    <w:rsid w:val="002C511B"/>
    <w:rsid w:val="002C5E0A"/>
    <w:rsid w:val="002D6078"/>
    <w:rsid w:val="002E69CD"/>
    <w:rsid w:val="002E7E0B"/>
    <w:rsid w:val="002F0752"/>
    <w:rsid w:val="002F387A"/>
    <w:rsid w:val="002F42A6"/>
    <w:rsid w:val="002F4CD0"/>
    <w:rsid w:val="003011A5"/>
    <w:rsid w:val="003054B4"/>
    <w:rsid w:val="00312E9C"/>
    <w:rsid w:val="00313C35"/>
    <w:rsid w:val="00332053"/>
    <w:rsid w:val="003320BA"/>
    <w:rsid w:val="00336E86"/>
    <w:rsid w:val="0034077B"/>
    <w:rsid w:val="003421A2"/>
    <w:rsid w:val="00364270"/>
    <w:rsid w:val="00365689"/>
    <w:rsid w:val="00365EDA"/>
    <w:rsid w:val="003712B9"/>
    <w:rsid w:val="00371822"/>
    <w:rsid w:val="003742A3"/>
    <w:rsid w:val="003801CD"/>
    <w:rsid w:val="003A0135"/>
    <w:rsid w:val="003B179B"/>
    <w:rsid w:val="003B5BC3"/>
    <w:rsid w:val="003B6DAD"/>
    <w:rsid w:val="003C12C3"/>
    <w:rsid w:val="003C4290"/>
    <w:rsid w:val="003D0A7F"/>
    <w:rsid w:val="003D4369"/>
    <w:rsid w:val="003E2F5F"/>
    <w:rsid w:val="00400BE5"/>
    <w:rsid w:val="00404E55"/>
    <w:rsid w:val="00406EBC"/>
    <w:rsid w:val="0041003A"/>
    <w:rsid w:val="00411FBE"/>
    <w:rsid w:val="004131B0"/>
    <w:rsid w:val="004132DD"/>
    <w:rsid w:val="00414BA0"/>
    <w:rsid w:val="00416DA2"/>
    <w:rsid w:val="00421535"/>
    <w:rsid w:val="00426D98"/>
    <w:rsid w:val="0043001C"/>
    <w:rsid w:val="00431168"/>
    <w:rsid w:val="00433581"/>
    <w:rsid w:val="00437B53"/>
    <w:rsid w:val="0044031C"/>
    <w:rsid w:val="00441F55"/>
    <w:rsid w:val="004440EF"/>
    <w:rsid w:val="00444FCB"/>
    <w:rsid w:val="00447259"/>
    <w:rsid w:val="00447893"/>
    <w:rsid w:val="0046012C"/>
    <w:rsid w:val="004617EC"/>
    <w:rsid w:val="00462BF1"/>
    <w:rsid w:val="00463A79"/>
    <w:rsid w:val="00470321"/>
    <w:rsid w:val="00477A7C"/>
    <w:rsid w:val="0048238F"/>
    <w:rsid w:val="00495AC0"/>
    <w:rsid w:val="00495DAC"/>
    <w:rsid w:val="004A2DED"/>
    <w:rsid w:val="004B7B8D"/>
    <w:rsid w:val="004C636D"/>
    <w:rsid w:val="004C7212"/>
    <w:rsid w:val="004D59C3"/>
    <w:rsid w:val="004E2125"/>
    <w:rsid w:val="004F5DA7"/>
    <w:rsid w:val="004F7AC2"/>
    <w:rsid w:val="00501CF9"/>
    <w:rsid w:val="005043EA"/>
    <w:rsid w:val="0051075F"/>
    <w:rsid w:val="00511216"/>
    <w:rsid w:val="00514BA3"/>
    <w:rsid w:val="00517EB4"/>
    <w:rsid w:val="0052169A"/>
    <w:rsid w:val="0052680B"/>
    <w:rsid w:val="00527586"/>
    <w:rsid w:val="0053447F"/>
    <w:rsid w:val="00536E0D"/>
    <w:rsid w:val="00543A7E"/>
    <w:rsid w:val="00543BE3"/>
    <w:rsid w:val="0054576C"/>
    <w:rsid w:val="00550809"/>
    <w:rsid w:val="00550DAC"/>
    <w:rsid w:val="0055263D"/>
    <w:rsid w:val="00554231"/>
    <w:rsid w:val="00556575"/>
    <w:rsid w:val="00563DC1"/>
    <w:rsid w:val="005672D4"/>
    <w:rsid w:val="00571BD8"/>
    <w:rsid w:val="00576700"/>
    <w:rsid w:val="00576A7C"/>
    <w:rsid w:val="005850ED"/>
    <w:rsid w:val="00585FF9"/>
    <w:rsid w:val="0059506B"/>
    <w:rsid w:val="005A3266"/>
    <w:rsid w:val="005B232B"/>
    <w:rsid w:val="005B5D88"/>
    <w:rsid w:val="005B6955"/>
    <w:rsid w:val="005C03BA"/>
    <w:rsid w:val="005C399A"/>
    <w:rsid w:val="005D5729"/>
    <w:rsid w:val="005D5774"/>
    <w:rsid w:val="005E2914"/>
    <w:rsid w:val="005E412E"/>
    <w:rsid w:val="005E5CA5"/>
    <w:rsid w:val="005E75D1"/>
    <w:rsid w:val="005F140C"/>
    <w:rsid w:val="005F1550"/>
    <w:rsid w:val="005F32AA"/>
    <w:rsid w:val="005F32F1"/>
    <w:rsid w:val="005F545B"/>
    <w:rsid w:val="00603A58"/>
    <w:rsid w:val="0061144F"/>
    <w:rsid w:val="00611A1E"/>
    <w:rsid w:val="00611EB4"/>
    <w:rsid w:val="00621216"/>
    <w:rsid w:val="006232D8"/>
    <w:rsid w:val="00626676"/>
    <w:rsid w:val="00630EF4"/>
    <w:rsid w:val="0063139D"/>
    <w:rsid w:val="00631EA1"/>
    <w:rsid w:val="00634685"/>
    <w:rsid w:val="0063641A"/>
    <w:rsid w:val="0064080F"/>
    <w:rsid w:val="006408C4"/>
    <w:rsid w:val="00643601"/>
    <w:rsid w:val="00643C1C"/>
    <w:rsid w:val="00644605"/>
    <w:rsid w:val="00647E85"/>
    <w:rsid w:val="00650570"/>
    <w:rsid w:val="006617D5"/>
    <w:rsid w:val="00663DCF"/>
    <w:rsid w:val="00667811"/>
    <w:rsid w:val="0067471F"/>
    <w:rsid w:val="00676CF4"/>
    <w:rsid w:val="0068220A"/>
    <w:rsid w:val="00683ADE"/>
    <w:rsid w:val="00685415"/>
    <w:rsid w:val="006860D6"/>
    <w:rsid w:val="0069287C"/>
    <w:rsid w:val="00693AF8"/>
    <w:rsid w:val="006A5CCD"/>
    <w:rsid w:val="006B2567"/>
    <w:rsid w:val="006B3DE6"/>
    <w:rsid w:val="006B4CEF"/>
    <w:rsid w:val="006B61AF"/>
    <w:rsid w:val="006C1783"/>
    <w:rsid w:val="006D1ECA"/>
    <w:rsid w:val="006D5EE0"/>
    <w:rsid w:val="006E4EF7"/>
    <w:rsid w:val="006E6531"/>
    <w:rsid w:val="006E7A86"/>
    <w:rsid w:val="006F1A45"/>
    <w:rsid w:val="006F4D17"/>
    <w:rsid w:val="006F5735"/>
    <w:rsid w:val="006F7912"/>
    <w:rsid w:val="00702FB6"/>
    <w:rsid w:val="00710DD4"/>
    <w:rsid w:val="00712A28"/>
    <w:rsid w:val="007137EF"/>
    <w:rsid w:val="007152DD"/>
    <w:rsid w:val="00734D16"/>
    <w:rsid w:val="0073524D"/>
    <w:rsid w:val="00735C05"/>
    <w:rsid w:val="00744E19"/>
    <w:rsid w:val="00744E75"/>
    <w:rsid w:val="00745FA9"/>
    <w:rsid w:val="00750796"/>
    <w:rsid w:val="00752245"/>
    <w:rsid w:val="00752D49"/>
    <w:rsid w:val="00761507"/>
    <w:rsid w:val="00764347"/>
    <w:rsid w:val="00775DF5"/>
    <w:rsid w:val="007807C5"/>
    <w:rsid w:val="007823FC"/>
    <w:rsid w:val="007829DE"/>
    <w:rsid w:val="007864CE"/>
    <w:rsid w:val="00787062"/>
    <w:rsid w:val="00792677"/>
    <w:rsid w:val="00792A90"/>
    <w:rsid w:val="00793F57"/>
    <w:rsid w:val="007A510D"/>
    <w:rsid w:val="007A6657"/>
    <w:rsid w:val="007C3301"/>
    <w:rsid w:val="007C586F"/>
    <w:rsid w:val="007C5DC8"/>
    <w:rsid w:val="007D378B"/>
    <w:rsid w:val="007E4E26"/>
    <w:rsid w:val="007E7D64"/>
    <w:rsid w:val="007F47BF"/>
    <w:rsid w:val="0080116D"/>
    <w:rsid w:val="00806F4C"/>
    <w:rsid w:val="00810059"/>
    <w:rsid w:val="00811C1C"/>
    <w:rsid w:val="00816693"/>
    <w:rsid w:val="00820070"/>
    <w:rsid w:val="00823D01"/>
    <w:rsid w:val="00824C52"/>
    <w:rsid w:val="00824E09"/>
    <w:rsid w:val="00831C1A"/>
    <w:rsid w:val="008403B5"/>
    <w:rsid w:val="00841AA4"/>
    <w:rsid w:val="00843C25"/>
    <w:rsid w:val="00846135"/>
    <w:rsid w:val="008511D6"/>
    <w:rsid w:val="0085383C"/>
    <w:rsid w:val="0085771E"/>
    <w:rsid w:val="00861A36"/>
    <w:rsid w:val="00870542"/>
    <w:rsid w:val="00870919"/>
    <w:rsid w:val="00872EFC"/>
    <w:rsid w:val="00873B0D"/>
    <w:rsid w:val="00876C62"/>
    <w:rsid w:val="008808FB"/>
    <w:rsid w:val="00880DB2"/>
    <w:rsid w:val="0088259F"/>
    <w:rsid w:val="008874E5"/>
    <w:rsid w:val="00895EBC"/>
    <w:rsid w:val="00895F32"/>
    <w:rsid w:val="008978DA"/>
    <w:rsid w:val="008B4E1C"/>
    <w:rsid w:val="008B5331"/>
    <w:rsid w:val="008C2661"/>
    <w:rsid w:val="008C749B"/>
    <w:rsid w:val="008D72EF"/>
    <w:rsid w:val="008E14EA"/>
    <w:rsid w:val="008E7FD4"/>
    <w:rsid w:val="008F6EC6"/>
    <w:rsid w:val="00910786"/>
    <w:rsid w:val="00910C27"/>
    <w:rsid w:val="009111BA"/>
    <w:rsid w:val="00921DC1"/>
    <w:rsid w:val="00924E0C"/>
    <w:rsid w:val="00931875"/>
    <w:rsid w:val="00933097"/>
    <w:rsid w:val="0093562A"/>
    <w:rsid w:val="00941F13"/>
    <w:rsid w:val="00943DE4"/>
    <w:rsid w:val="0094408C"/>
    <w:rsid w:val="009471DF"/>
    <w:rsid w:val="00947506"/>
    <w:rsid w:val="009500B6"/>
    <w:rsid w:val="00952C4A"/>
    <w:rsid w:val="0095313E"/>
    <w:rsid w:val="00953BE3"/>
    <w:rsid w:val="009574FC"/>
    <w:rsid w:val="009579DA"/>
    <w:rsid w:val="00957B5E"/>
    <w:rsid w:val="00957EA7"/>
    <w:rsid w:val="00960854"/>
    <w:rsid w:val="0096317A"/>
    <w:rsid w:val="00964E55"/>
    <w:rsid w:val="00965DF3"/>
    <w:rsid w:val="00966AE8"/>
    <w:rsid w:val="009751F3"/>
    <w:rsid w:val="00977653"/>
    <w:rsid w:val="009779DB"/>
    <w:rsid w:val="009851FE"/>
    <w:rsid w:val="00993C01"/>
    <w:rsid w:val="009A1A1E"/>
    <w:rsid w:val="009A69EB"/>
    <w:rsid w:val="009A71F2"/>
    <w:rsid w:val="009B1EFE"/>
    <w:rsid w:val="009B5422"/>
    <w:rsid w:val="009C1EBC"/>
    <w:rsid w:val="009D097C"/>
    <w:rsid w:val="009D1053"/>
    <w:rsid w:val="009D17E4"/>
    <w:rsid w:val="009D4DB4"/>
    <w:rsid w:val="009E3D0D"/>
    <w:rsid w:val="009E3E84"/>
    <w:rsid w:val="009E4AE2"/>
    <w:rsid w:val="009E7704"/>
    <w:rsid w:val="00A01806"/>
    <w:rsid w:val="00A04C88"/>
    <w:rsid w:val="00A06CA3"/>
    <w:rsid w:val="00A13F10"/>
    <w:rsid w:val="00A16A73"/>
    <w:rsid w:val="00A202BD"/>
    <w:rsid w:val="00A21E11"/>
    <w:rsid w:val="00A25584"/>
    <w:rsid w:val="00A26D23"/>
    <w:rsid w:val="00A44DCF"/>
    <w:rsid w:val="00A56550"/>
    <w:rsid w:val="00A75B83"/>
    <w:rsid w:val="00AA2172"/>
    <w:rsid w:val="00AA508C"/>
    <w:rsid w:val="00AA6969"/>
    <w:rsid w:val="00AB0044"/>
    <w:rsid w:val="00AB27EF"/>
    <w:rsid w:val="00AB3875"/>
    <w:rsid w:val="00AB585A"/>
    <w:rsid w:val="00AC0E34"/>
    <w:rsid w:val="00AD1393"/>
    <w:rsid w:val="00AD1F30"/>
    <w:rsid w:val="00AD3E2B"/>
    <w:rsid w:val="00AD4CEA"/>
    <w:rsid w:val="00AD607D"/>
    <w:rsid w:val="00AD6526"/>
    <w:rsid w:val="00AE3741"/>
    <w:rsid w:val="00AF3D73"/>
    <w:rsid w:val="00AF4BC5"/>
    <w:rsid w:val="00AF552D"/>
    <w:rsid w:val="00AF69E8"/>
    <w:rsid w:val="00B0096B"/>
    <w:rsid w:val="00B02A50"/>
    <w:rsid w:val="00B05669"/>
    <w:rsid w:val="00B11C78"/>
    <w:rsid w:val="00B207D3"/>
    <w:rsid w:val="00B214BF"/>
    <w:rsid w:val="00B22B3F"/>
    <w:rsid w:val="00B262A0"/>
    <w:rsid w:val="00B27703"/>
    <w:rsid w:val="00B348BC"/>
    <w:rsid w:val="00B35C4A"/>
    <w:rsid w:val="00B50704"/>
    <w:rsid w:val="00B57F01"/>
    <w:rsid w:val="00B60845"/>
    <w:rsid w:val="00B61A4A"/>
    <w:rsid w:val="00B64C89"/>
    <w:rsid w:val="00B67C13"/>
    <w:rsid w:val="00B71503"/>
    <w:rsid w:val="00B71658"/>
    <w:rsid w:val="00B7235D"/>
    <w:rsid w:val="00B73FC7"/>
    <w:rsid w:val="00B7637F"/>
    <w:rsid w:val="00B83D03"/>
    <w:rsid w:val="00B9332B"/>
    <w:rsid w:val="00B9357D"/>
    <w:rsid w:val="00B956F1"/>
    <w:rsid w:val="00B96153"/>
    <w:rsid w:val="00B96E6C"/>
    <w:rsid w:val="00BA0F84"/>
    <w:rsid w:val="00BA3963"/>
    <w:rsid w:val="00BA67B1"/>
    <w:rsid w:val="00BB1F3B"/>
    <w:rsid w:val="00BB3CA0"/>
    <w:rsid w:val="00BC1092"/>
    <w:rsid w:val="00BC243D"/>
    <w:rsid w:val="00BD129B"/>
    <w:rsid w:val="00BE0483"/>
    <w:rsid w:val="00BF3F31"/>
    <w:rsid w:val="00BF5F02"/>
    <w:rsid w:val="00C03360"/>
    <w:rsid w:val="00C03B59"/>
    <w:rsid w:val="00C1156F"/>
    <w:rsid w:val="00C13C8D"/>
    <w:rsid w:val="00C160C4"/>
    <w:rsid w:val="00C21F81"/>
    <w:rsid w:val="00C230C6"/>
    <w:rsid w:val="00C24134"/>
    <w:rsid w:val="00C331D2"/>
    <w:rsid w:val="00C36F42"/>
    <w:rsid w:val="00C40C4C"/>
    <w:rsid w:val="00C4329F"/>
    <w:rsid w:val="00C44FD8"/>
    <w:rsid w:val="00C53340"/>
    <w:rsid w:val="00C5382B"/>
    <w:rsid w:val="00C550CB"/>
    <w:rsid w:val="00C55A92"/>
    <w:rsid w:val="00C6018C"/>
    <w:rsid w:val="00C633F5"/>
    <w:rsid w:val="00C63E4C"/>
    <w:rsid w:val="00C6487E"/>
    <w:rsid w:val="00C66C04"/>
    <w:rsid w:val="00C67DCE"/>
    <w:rsid w:val="00C705E9"/>
    <w:rsid w:val="00C71177"/>
    <w:rsid w:val="00C74170"/>
    <w:rsid w:val="00C80085"/>
    <w:rsid w:val="00C80E13"/>
    <w:rsid w:val="00C8664E"/>
    <w:rsid w:val="00C8700C"/>
    <w:rsid w:val="00C95E6F"/>
    <w:rsid w:val="00C95EFC"/>
    <w:rsid w:val="00CA7981"/>
    <w:rsid w:val="00CB19FD"/>
    <w:rsid w:val="00CB2FE4"/>
    <w:rsid w:val="00CB3FD8"/>
    <w:rsid w:val="00CB61C7"/>
    <w:rsid w:val="00CB7CE9"/>
    <w:rsid w:val="00CC3D6D"/>
    <w:rsid w:val="00CC6ABF"/>
    <w:rsid w:val="00CC6D27"/>
    <w:rsid w:val="00CD4EEB"/>
    <w:rsid w:val="00CE17A5"/>
    <w:rsid w:val="00CE2D2C"/>
    <w:rsid w:val="00CE3C5D"/>
    <w:rsid w:val="00CF3AF7"/>
    <w:rsid w:val="00D15FD6"/>
    <w:rsid w:val="00D16E6D"/>
    <w:rsid w:val="00D17BB3"/>
    <w:rsid w:val="00D215B9"/>
    <w:rsid w:val="00D26FDA"/>
    <w:rsid w:val="00D27534"/>
    <w:rsid w:val="00D309A7"/>
    <w:rsid w:val="00D33EF9"/>
    <w:rsid w:val="00D354A9"/>
    <w:rsid w:val="00D424EA"/>
    <w:rsid w:val="00D457DC"/>
    <w:rsid w:val="00D50CFD"/>
    <w:rsid w:val="00D52307"/>
    <w:rsid w:val="00D5551D"/>
    <w:rsid w:val="00D57511"/>
    <w:rsid w:val="00D6113B"/>
    <w:rsid w:val="00D631A3"/>
    <w:rsid w:val="00D649F3"/>
    <w:rsid w:val="00D67D94"/>
    <w:rsid w:val="00D73854"/>
    <w:rsid w:val="00D75234"/>
    <w:rsid w:val="00D86457"/>
    <w:rsid w:val="00D87E74"/>
    <w:rsid w:val="00D92F93"/>
    <w:rsid w:val="00D959EA"/>
    <w:rsid w:val="00DA0604"/>
    <w:rsid w:val="00DA284A"/>
    <w:rsid w:val="00DA2EF7"/>
    <w:rsid w:val="00DA62B3"/>
    <w:rsid w:val="00DB0008"/>
    <w:rsid w:val="00DB13F2"/>
    <w:rsid w:val="00DC4484"/>
    <w:rsid w:val="00DC78B5"/>
    <w:rsid w:val="00DD0EDA"/>
    <w:rsid w:val="00DD5AFC"/>
    <w:rsid w:val="00DE08F1"/>
    <w:rsid w:val="00DE10DD"/>
    <w:rsid w:val="00DE50B9"/>
    <w:rsid w:val="00DE5453"/>
    <w:rsid w:val="00DE604C"/>
    <w:rsid w:val="00DF0C8E"/>
    <w:rsid w:val="00DF62E5"/>
    <w:rsid w:val="00E07B07"/>
    <w:rsid w:val="00E10707"/>
    <w:rsid w:val="00E11756"/>
    <w:rsid w:val="00E15823"/>
    <w:rsid w:val="00E16675"/>
    <w:rsid w:val="00E3180A"/>
    <w:rsid w:val="00E334DB"/>
    <w:rsid w:val="00E3761B"/>
    <w:rsid w:val="00E413FD"/>
    <w:rsid w:val="00E43626"/>
    <w:rsid w:val="00E47568"/>
    <w:rsid w:val="00E5758E"/>
    <w:rsid w:val="00E67A48"/>
    <w:rsid w:val="00E74EDD"/>
    <w:rsid w:val="00E817A1"/>
    <w:rsid w:val="00E82DD8"/>
    <w:rsid w:val="00E91D62"/>
    <w:rsid w:val="00E92B81"/>
    <w:rsid w:val="00E96BA4"/>
    <w:rsid w:val="00EA00BE"/>
    <w:rsid w:val="00EB0042"/>
    <w:rsid w:val="00EB3482"/>
    <w:rsid w:val="00EB4530"/>
    <w:rsid w:val="00EB64C9"/>
    <w:rsid w:val="00EB7B12"/>
    <w:rsid w:val="00EC5200"/>
    <w:rsid w:val="00ED3ADE"/>
    <w:rsid w:val="00ED75E6"/>
    <w:rsid w:val="00EF03ED"/>
    <w:rsid w:val="00EF54DC"/>
    <w:rsid w:val="00EF5F6D"/>
    <w:rsid w:val="00F13A01"/>
    <w:rsid w:val="00F149B4"/>
    <w:rsid w:val="00F15181"/>
    <w:rsid w:val="00F327F3"/>
    <w:rsid w:val="00F42588"/>
    <w:rsid w:val="00F43D1F"/>
    <w:rsid w:val="00F451DB"/>
    <w:rsid w:val="00F478B6"/>
    <w:rsid w:val="00F56929"/>
    <w:rsid w:val="00F631D1"/>
    <w:rsid w:val="00F676A2"/>
    <w:rsid w:val="00F71D6F"/>
    <w:rsid w:val="00F73F49"/>
    <w:rsid w:val="00F743AC"/>
    <w:rsid w:val="00F7583E"/>
    <w:rsid w:val="00F77AA7"/>
    <w:rsid w:val="00F841B6"/>
    <w:rsid w:val="00F920B3"/>
    <w:rsid w:val="00F957FB"/>
    <w:rsid w:val="00FB261F"/>
    <w:rsid w:val="00FC31E9"/>
    <w:rsid w:val="00FD2488"/>
    <w:rsid w:val="00FE3CF2"/>
    <w:rsid w:val="00FF1E85"/>
    <w:rsid w:val="00FF2141"/>
    <w:rsid w:val="00FF2C45"/>
    <w:rsid w:val="00FF4D8E"/>
    <w:rsid w:val="07B237CA"/>
    <w:rsid w:val="186A71DC"/>
    <w:rsid w:val="1CEE7448"/>
    <w:rsid w:val="2A67532C"/>
    <w:rsid w:val="39A07466"/>
    <w:rsid w:val="41532401"/>
    <w:rsid w:val="59C76CFA"/>
    <w:rsid w:val="5B3639CF"/>
    <w:rsid w:val="6D933BF0"/>
    <w:rsid w:val="736F029F"/>
    <w:rsid w:val="77235720"/>
    <w:rsid w:val="797635B4"/>
    <w:rsid w:val="7B642AA1"/>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t" stroke="t">
      <v:fill type="gradient" on="t" angle="90" focussize="0f,0f" focusposition="0f,0f">
        <o:fill type="gradientUnscaled" v:ext="backwardCompatible"/>
      </v:fill>
      <v:stroke weight="1.25pt" color="#739CC3"/>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nhideWhenUsed="0" w:uiPriority="39" w:semiHidden="0" w:name="toc 1"/>
    <w:lsdException w:qFormat="1" w:unhideWhenUsed="0" w:uiPriority="39" w:semiHidden="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nhideWhenUsed="0" w:uiPriority="0" w:semiHidden="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unhideWhenUsed="0" w:uiPriority="99" w:semiHidden="0" w:name="Hyperlink"/>
    <w:lsdException w:uiPriority="0" w:name="FollowedHyperlink"/>
    <w:lsdException w:qFormat="1" w:unhideWhenUsed="0" w:uiPriority="0" w:semiHidden="0" w:name="Strong"/>
    <w:lsdException w:qFormat="1" w:unhideWhenUsed="0" w:uiPriority="0" w:semiHidden="0" w:name="Emphasis"/>
    <w:lsdException w:unhideWhenUsed="0"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15"/>
    <w:qFormat/>
    <w:uiPriority w:val="0"/>
    <w:pPr>
      <w:keepNext/>
      <w:keepLines/>
      <w:spacing w:before="340" w:after="330" w:line="578" w:lineRule="auto"/>
      <w:outlineLvl w:val="0"/>
    </w:pPr>
    <w:rPr>
      <w:b/>
      <w:bCs/>
      <w:kern w:val="44"/>
      <w:sz w:val="44"/>
      <w:szCs w:val="44"/>
    </w:rPr>
  </w:style>
  <w:style w:type="paragraph" w:styleId="3">
    <w:name w:val="heading 2"/>
    <w:basedOn w:val="1"/>
    <w:next w:val="1"/>
    <w:qFormat/>
    <w:uiPriority w:val="0"/>
    <w:pPr>
      <w:keepNext/>
      <w:keepLines/>
      <w:spacing w:before="260" w:after="260" w:line="416" w:lineRule="auto"/>
      <w:outlineLvl w:val="1"/>
    </w:pPr>
    <w:rPr>
      <w:rFonts w:ascii="Arial" w:hAnsi="Arial" w:eastAsia="黑体"/>
      <w:b/>
      <w:bCs/>
      <w:sz w:val="32"/>
      <w:szCs w:val="32"/>
    </w:rPr>
  </w:style>
  <w:style w:type="character" w:default="1" w:styleId="12">
    <w:name w:val="Default Paragraph Font"/>
    <w:semiHidden/>
    <w:unhideWhenUsed/>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4">
    <w:name w:val="Document Map"/>
    <w:basedOn w:val="1"/>
    <w:semiHidden/>
    <w:uiPriority w:val="0"/>
    <w:pPr>
      <w:shd w:val="clear" w:color="auto" w:fill="000080"/>
    </w:pPr>
  </w:style>
  <w:style w:type="paragraph" w:styleId="5">
    <w:name w:val="Balloon Text"/>
    <w:basedOn w:val="1"/>
    <w:link w:val="18"/>
    <w:semiHidden/>
    <w:unhideWhenUsed/>
    <w:uiPriority w:val="0"/>
    <w:rPr>
      <w:sz w:val="18"/>
      <w:szCs w:val="18"/>
    </w:rPr>
  </w:style>
  <w:style w:type="paragraph" w:styleId="6">
    <w:name w:val="footer"/>
    <w:basedOn w:val="1"/>
    <w:qFormat/>
    <w:uiPriority w:val="0"/>
    <w:pPr>
      <w:tabs>
        <w:tab w:val="center" w:pos="4153"/>
        <w:tab w:val="right" w:pos="8306"/>
      </w:tabs>
      <w:snapToGrid w:val="0"/>
      <w:jc w:val="left"/>
    </w:pPr>
    <w:rPr>
      <w:sz w:val="18"/>
    </w:rPr>
  </w:style>
  <w:style w:type="paragraph" w:styleId="7">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8">
    <w:name w:val="toc 1"/>
    <w:basedOn w:val="1"/>
    <w:next w:val="1"/>
    <w:uiPriority w:val="39"/>
  </w:style>
  <w:style w:type="paragraph" w:styleId="9">
    <w:name w:val="toc 2"/>
    <w:basedOn w:val="1"/>
    <w:next w:val="1"/>
    <w:qFormat/>
    <w:uiPriority w:val="39"/>
    <w:pPr>
      <w:ind w:left="420" w:leftChars="200"/>
    </w:pPr>
  </w:style>
  <w:style w:type="table" w:styleId="11">
    <w:name w:val="Table Grid"/>
    <w:basedOn w:val="10"/>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3">
    <w:name w:val="page number"/>
    <w:basedOn w:val="12"/>
    <w:uiPriority w:val="0"/>
  </w:style>
  <w:style w:type="character" w:styleId="14">
    <w:name w:val="Hyperlink"/>
    <w:uiPriority w:val="99"/>
    <w:rPr>
      <w:color w:val="0000FF"/>
      <w:u w:val="single"/>
    </w:rPr>
  </w:style>
  <w:style w:type="character" w:customStyle="1" w:styleId="15">
    <w:name w:val="标题 1 Char"/>
    <w:link w:val="2"/>
    <w:uiPriority w:val="0"/>
    <w:rPr>
      <w:rFonts w:eastAsia="宋体"/>
      <w:b/>
      <w:bCs/>
      <w:kern w:val="44"/>
      <w:sz w:val="44"/>
      <w:szCs w:val="44"/>
      <w:lang w:val="en-US" w:eastAsia="zh-CN" w:bidi="ar-SA"/>
    </w:rPr>
  </w:style>
  <w:style w:type="paragraph" w:customStyle="1" w:styleId="16">
    <w:name w:val="_Style 8"/>
    <w:basedOn w:val="1"/>
    <w:uiPriority w:val="0"/>
  </w:style>
  <w:style w:type="paragraph" w:customStyle="1" w:styleId="17">
    <w:name w:val="列出段落1"/>
    <w:basedOn w:val="1"/>
    <w:qFormat/>
    <w:uiPriority w:val="34"/>
    <w:pPr>
      <w:ind w:firstLine="420" w:firstLineChars="200"/>
    </w:pPr>
  </w:style>
  <w:style w:type="character" w:customStyle="1" w:styleId="18">
    <w:name w:val="批注框文本 Char"/>
    <w:basedOn w:val="12"/>
    <w:link w:val="5"/>
    <w:semiHidden/>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jpe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customXml" Target="../customXml/item1.xml"/><Relationship Id="rId11" Type="http://schemas.openxmlformats.org/officeDocument/2006/relationships/numbering" Target="numbering.xml"/><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540B64A-1C88-4B70-9BD6-867EB234E5B7}">
  <ds:schemaRefs/>
</ds:datastoreItem>
</file>

<file path=docProps/app.xml><?xml version="1.0" encoding="utf-8"?>
<Properties xmlns="http://schemas.openxmlformats.org/officeDocument/2006/extended-properties" xmlns:vt="http://schemas.openxmlformats.org/officeDocument/2006/docPropsVTypes">
  <Template>Normal</Template>
  <Company>Sky123.Org</Company>
  <Pages>50</Pages>
  <Words>22312</Words>
  <Characters>23050</Characters>
  <Lines>184</Lines>
  <Paragraphs>51</Paragraphs>
  <TotalTime>385</TotalTime>
  <ScaleCrop>false</ScaleCrop>
  <LinksUpToDate>false</LinksUpToDate>
  <CharactersWithSpaces>23126</CharactersWithSpaces>
  <Application>WPS Office_12.1.0.16910_F1E327BC-269C-435d-A152-05C5408002CA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2016-03-17T03:07:00Z</dcterms:created>
  <dc:creator>ad</dc:creator>
  <cp:lastModifiedBy>BianL</cp:lastModifiedBy>
  <cp:lastPrinted>2016-03-17T03:06:00Z</cp:lastPrinted>
  <dcterms:modified xsi:type="dcterms:W3CDTF">2024-05-15T09:39:54Z</dcterms:modified>
  <dc:title>廊坊市</dc:title>
  <cp:revision>19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2052-12.1.0.16910</vt:lpwstr>
  </property>
  <property fmtid="{D5CDD505-2E9C-101B-9397-08002B2CF9AE}" pid="3" name="ICV">
    <vt:lpwstr>1F4361AD69314B44B110F482D91BDFFC_12</vt:lpwstr>
  </property>
</Properties>
</file>